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E8DA5" w14:textId="2EF60109" w:rsidR="007C5625" w:rsidRPr="00610E63" w:rsidRDefault="007C5625" w:rsidP="007C5625">
      <w:pPr>
        <w:tabs>
          <w:tab w:val="right" w:pos="10000"/>
        </w:tabs>
        <w:spacing w:after="0"/>
        <w:jc w:val="both"/>
        <w:rPr>
          <w:rFonts w:ascii="Arial" w:hAnsi="Arial" w:cs="Arial"/>
          <w:b/>
          <w:color w:val="000000" w:themeColor="text1"/>
          <w:sz w:val="24"/>
          <w:szCs w:val="24"/>
        </w:rPr>
      </w:pPr>
      <w:bookmarkStart w:id="0" w:name="_Ref462675860"/>
      <w:r w:rsidRPr="00610E63">
        <w:rPr>
          <w:rFonts w:ascii="Arial" w:hAnsi="Arial" w:cs="Arial"/>
          <w:b/>
          <w:color w:val="000000" w:themeColor="text1"/>
          <w:sz w:val="24"/>
          <w:szCs w:val="24"/>
        </w:rPr>
        <w:t>3GPP TSG-RAN WG1 #8</w:t>
      </w:r>
      <w:r>
        <w:rPr>
          <w:rFonts w:ascii="Arial" w:hAnsi="Arial" w:cs="Arial"/>
          <w:b/>
          <w:color w:val="000000" w:themeColor="text1"/>
          <w:sz w:val="24"/>
          <w:szCs w:val="24"/>
        </w:rPr>
        <w:t>8</w:t>
      </w:r>
      <w:r w:rsidRPr="00610E63">
        <w:rPr>
          <w:rFonts w:ascii="Arial" w:hAnsi="Arial" w:cs="Arial"/>
          <w:b/>
          <w:color w:val="000000" w:themeColor="text1"/>
          <w:sz w:val="24"/>
          <w:szCs w:val="24"/>
        </w:rPr>
        <w:t xml:space="preserve"> </w:t>
      </w:r>
      <w:r w:rsidRPr="00610E63">
        <w:rPr>
          <w:rFonts w:ascii="Arial" w:hAnsi="Arial" w:cs="Arial"/>
          <w:b/>
          <w:color w:val="000000" w:themeColor="text1"/>
          <w:sz w:val="24"/>
          <w:szCs w:val="24"/>
        </w:rPr>
        <w:tab/>
      </w:r>
      <w:r w:rsidRPr="00230B14">
        <w:rPr>
          <w:rFonts w:ascii="Arial" w:hAnsi="Arial" w:cs="Arial"/>
          <w:b/>
          <w:color w:val="000000" w:themeColor="text1"/>
          <w:sz w:val="24"/>
          <w:szCs w:val="24"/>
        </w:rPr>
        <w:t>R1-1</w:t>
      </w:r>
      <w:r>
        <w:rPr>
          <w:rFonts w:ascii="Arial" w:hAnsi="Arial" w:cs="Arial"/>
          <w:b/>
          <w:color w:val="000000" w:themeColor="text1"/>
          <w:sz w:val="24"/>
          <w:szCs w:val="24"/>
        </w:rPr>
        <w:t>70</w:t>
      </w:r>
      <w:r w:rsidR="00F05407">
        <w:rPr>
          <w:rFonts w:ascii="Arial" w:hAnsi="Arial" w:cs="Arial"/>
          <w:b/>
          <w:color w:val="000000" w:themeColor="text1"/>
          <w:sz w:val="24"/>
          <w:szCs w:val="24"/>
        </w:rPr>
        <w:t>2601</w:t>
      </w:r>
    </w:p>
    <w:p w14:paraId="3E6CCCB5" w14:textId="77777777" w:rsidR="007C5625" w:rsidRPr="00C40D3D" w:rsidRDefault="007C5625" w:rsidP="007C5625">
      <w:pPr>
        <w:tabs>
          <w:tab w:val="right" w:pos="9630"/>
        </w:tabs>
        <w:spacing w:after="0"/>
        <w:jc w:val="both"/>
        <w:rPr>
          <w:rFonts w:ascii="Arial" w:hAnsi="Arial" w:cs="Arial"/>
          <w:b/>
          <w:color w:val="000000" w:themeColor="text1"/>
          <w:sz w:val="24"/>
          <w:szCs w:val="24"/>
        </w:rPr>
      </w:pPr>
      <w:r w:rsidRPr="00C40D3D">
        <w:rPr>
          <w:rFonts w:ascii="Arial" w:hAnsi="Arial" w:cs="Arial" w:hint="eastAsia"/>
          <w:b/>
          <w:color w:val="000000" w:themeColor="text1"/>
          <w:sz w:val="24"/>
          <w:szCs w:val="24"/>
        </w:rPr>
        <w:t xml:space="preserve">13th </w:t>
      </w:r>
      <w:r w:rsidRPr="00C40D3D">
        <w:rPr>
          <w:rFonts w:ascii="Arial" w:hAnsi="Arial" w:cs="Arial"/>
          <w:b/>
          <w:color w:val="000000" w:themeColor="text1"/>
          <w:sz w:val="24"/>
          <w:szCs w:val="24"/>
        </w:rPr>
        <w:t xml:space="preserve">- </w:t>
      </w:r>
      <w:r w:rsidRPr="00C40D3D">
        <w:rPr>
          <w:rFonts w:ascii="Arial" w:hAnsi="Arial" w:cs="Arial" w:hint="eastAsia"/>
          <w:b/>
          <w:color w:val="000000" w:themeColor="text1"/>
          <w:sz w:val="24"/>
          <w:szCs w:val="24"/>
        </w:rPr>
        <w:t>17</w:t>
      </w:r>
      <w:r w:rsidRPr="00C40D3D">
        <w:rPr>
          <w:rFonts w:ascii="Arial" w:hAnsi="Arial" w:cs="Arial"/>
          <w:b/>
          <w:color w:val="000000" w:themeColor="text1"/>
          <w:sz w:val="24"/>
          <w:szCs w:val="24"/>
        </w:rPr>
        <w:t xml:space="preserve">th </w:t>
      </w:r>
      <w:r w:rsidRPr="00C40D3D">
        <w:rPr>
          <w:rFonts w:ascii="Arial" w:hAnsi="Arial" w:cs="Arial" w:hint="eastAsia"/>
          <w:b/>
          <w:color w:val="000000" w:themeColor="text1"/>
          <w:sz w:val="24"/>
          <w:szCs w:val="24"/>
        </w:rPr>
        <w:t>February</w:t>
      </w:r>
      <w:r w:rsidRPr="00C40D3D">
        <w:rPr>
          <w:rFonts w:ascii="Arial" w:hAnsi="Arial" w:cs="Arial"/>
          <w:b/>
          <w:color w:val="000000" w:themeColor="text1"/>
          <w:sz w:val="24"/>
          <w:szCs w:val="24"/>
        </w:rPr>
        <w:t xml:space="preserve"> 201</w:t>
      </w:r>
      <w:r w:rsidRPr="00C40D3D">
        <w:rPr>
          <w:rFonts w:ascii="Arial" w:hAnsi="Arial" w:cs="Arial" w:hint="eastAsia"/>
          <w:b/>
          <w:color w:val="000000" w:themeColor="text1"/>
          <w:sz w:val="24"/>
          <w:szCs w:val="24"/>
        </w:rPr>
        <w:t>7</w:t>
      </w:r>
    </w:p>
    <w:p w14:paraId="6EF60674" w14:textId="77777777" w:rsidR="007C5625" w:rsidRPr="00C40D3D" w:rsidRDefault="007C5625" w:rsidP="007C5625">
      <w:pPr>
        <w:spacing w:after="0"/>
        <w:jc w:val="both"/>
        <w:rPr>
          <w:rFonts w:ascii="Arial" w:hAnsi="Arial" w:cs="Arial"/>
          <w:b/>
          <w:color w:val="000000" w:themeColor="text1"/>
          <w:sz w:val="24"/>
          <w:szCs w:val="24"/>
        </w:rPr>
      </w:pPr>
      <w:r w:rsidRPr="00C40D3D">
        <w:rPr>
          <w:rFonts w:ascii="Arial" w:hAnsi="Arial" w:cs="Arial" w:hint="eastAsia"/>
          <w:b/>
          <w:color w:val="000000" w:themeColor="text1"/>
          <w:sz w:val="24"/>
          <w:szCs w:val="24"/>
        </w:rPr>
        <w:t>Athens</w:t>
      </w:r>
      <w:r w:rsidRPr="00C40D3D">
        <w:rPr>
          <w:rFonts w:ascii="Arial" w:hAnsi="Arial" w:cs="Arial"/>
          <w:b/>
          <w:color w:val="000000" w:themeColor="text1"/>
          <w:sz w:val="24"/>
          <w:szCs w:val="24"/>
        </w:rPr>
        <w:t xml:space="preserve">, </w:t>
      </w:r>
      <w:r w:rsidRPr="00C40D3D">
        <w:rPr>
          <w:rFonts w:ascii="Arial" w:hAnsi="Arial" w:cs="Arial" w:hint="eastAsia"/>
          <w:b/>
          <w:color w:val="000000" w:themeColor="text1"/>
          <w:sz w:val="24"/>
          <w:szCs w:val="24"/>
        </w:rPr>
        <w:t>Greece</w:t>
      </w:r>
      <w:bookmarkStart w:id="1" w:name="_GoBack"/>
      <w:bookmarkEnd w:id="1"/>
    </w:p>
    <w:p w14:paraId="6F629403" w14:textId="77777777" w:rsidR="007C5625" w:rsidRPr="000A64D8" w:rsidRDefault="007C5625" w:rsidP="007C5625">
      <w:pPr>
        <w:pStyle w:val="Footer"/>
        <w:jc w:val="both"/>
        <w:rPr>
          <w:noProof w:val="0"/>
        </w:rPr>
      </w:pPr>
    </w:p>
    <w:p w14:paraId="33D52B4E" w14:textId="0F35FEBC"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8.1.2.1.5</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7B02A94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On UL diversity 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2D5DB899" w14:textId="77777777" w:rsidR="001532B6" w:rsidRDefault="00FD5477" w:rsidP="00D54574">
      <w:pPr>
        <w:jc w:val="both"/>
        <w:rPr>
          <w:lang w:val="en-GB"/>
        </w:rPr>
      </w:pPr>
      <w:bookmarkStart w:id="4" w:name="_Ref465589377"/>
      <w:bookmarkStart w:id="5" w:name="_Ref462669569"/>
      <w:r>
        <w:t xml:space="preserve">In </w:t>
      </w:r>
      <w:r>
        <w:rPr>
          <w:szCs w:val="22"/>
        </w:rPr>
        <w:t xml:space="preserve">RAN1 86-Bis </w:t>
      </w:r>
      <w:r>
        <w:rPr>
          <w:szCs w:val="22"/>
        </w:rPr>
        <w:fldChar w:fldCharType="begin"/>
      </w:r>
      <w:r>
        <w:rPr>
          <w:szCs w:val="22"/>
        </w:rPr>
        <w:instrText xml:space="preserve"> REF _Ref461383190 \r \h  \* MERGEFORMAT </w:instrText>
      </w:r>
      <w:r>
        <w:rPr>
          <w:szCs w:val="22"/>
        </w:rPr>
      </w:r>
      <w:r>
        <w:rPr>
          <w:szCs w:val="22"/>
        </w:rPr>
        <w:fldChar w:fldCharType="separate"/>
      </w:r>
      <w:r w:rsidR="00FB0621">
        <w:rPr>
          <w:szCs w:val="22"/>
        </w:rPr>
        <w:t>[1]</w:t>
      </w:r>
      <w:r>
        <w:rPr>
          <w:szCs w:val="22"/>
        </w:rPr>
        <w:fldChar w:fldCharType="end"/>
      </w:r>
      <w:r>
        <w:rPr>
          <w:szCs w:val="22"/>
        </w:rPr>
        <w:t xml:space="preserve"> </w:t>
      </w:r>
      <w:r>
        <w:rPr>
          <w:szCs w:val="22"/>
        </w:rPr>
        <w:fldChar w:fldCharType="begin"/>
      </w:r>
      <w:r>
        <w:rPr>
          <w:szCs w:val="22"/>
        </w:rPr>
        <w:instrText xml:space="preserve"> REF _Ref465692996 \r \h  \* MERGEFORMAT </w:instrText>
      </w:r>
      <w:r>
        <w:rPr>
          <w:szCs w:val="22"/>
        </w:rPr>
      </w:r>
      <w:r>
        <w:rPr>
          <w:szCs w:val="22"/>
        </w:rPr>
        <w:fldChar w:fldCharType="separate"/>
      </w:r>
      <w:r w:rsidR="00FB0621">
        <w:rPr>
          <w:szCs w:val="22"/>
        </w:rPr>
        <w:t>[2]</w:t>
      </w:r>
      <w:r>
        <w:rPr>
          <w:szCs w:val="22"/>
        </w:rPr>
        <w:fldChar w:fldCharType="end"/>
      </w:r>
      <w:r>
        <w:rPr>
          <w:szCs w:val="22"/>
        </w:rPr>
        <w:t xml:space="preserve">, it is agreed that </w:t>
      </w:r>
      <w:r w:rsidRPr="00844580">
        <w:rPr>
          <w:rFonts w:eastAsia="MS Mincho"/>
          <w:lang w:eastAsia="ja-JP"/>
        </w:rPr>
        <w:t>both CP-OFDM and DFT-S-OFDM based waveforms are mandatory for UEs</w:t>
      </w:r>
      <w:r>
        <w:rPr>
          <w:rFonts w:eastAsia="MS Mincho"/>
          <w:lang w:eastAsia="ja-JP"/>
        </w:rPr>
        <w:t>.</w:t>
      </w:r>
      <w:r>
        <w:rPr>
          <w:lang w:val="en-GB"/>
        </w:rPr>
        <w:t xml:space="preserve"> </w:t>
      </w:r>
      <w:r w:rsidR="001532B6">
        <w:rPr>
          <w:lang w:val="en-GB"/>
        </w:rPr>
        <w:t>It was also agreed in RAN1 87, that</w:t>
      </w:r>
    </w:p>
    <w:p w14:paraId="0B2612D0" w14:textId="77777777" w:rsidR="001532B6" w:rsidRDefault="001532B6" w:rsidP="001532B6">
      <w:pPr>
        <w:pStyle w:val="BodyText"/>
        <w:numPr>
          <w:ilvl w:val="0"/>
          <w:numId w:val="11"/>
        </w:numPr>
        <w:overflowPunct/>
        <w:autoSpaceDE/>
        <w:autoSpaceDN/>
        <w:adjustRightInd/>
        <w:spacing w:after="0"/>
        <w:textAlignment w:val="auto"/>
      </w:pPr>
      <w:r>
        <w:rPr>
          <w:rFonts w:eastAsia="MS Mincho" w:hint="eastAsia"/>
          <w:lang w:eastAsia="ja-JP"/>
        </w:rPr>
        <w:t>A</w:t>
      </w:r>
      <w:r w:rsidRPr="0048602A">
        <w:rPr>
          <w:rFonts w:eastAsia="MS Mincho" w:hint="eastAsia"/>
          <w:lang w:eastAsia="ja-JP"/>
        </w:rPr>
        <w:t xml:space="preserve">t least </w:t>
      </w:r>
      <w:r>
        <w:t>a low PAPR/CM design</w:t>
      </w:r>
      <w:r w:rsidRPr="00A21D4B">
        <w:rPr>
          <w:rFonts w:eastAsia="MS Mincho" w:hint="eastAsia"/>
          <w:lang w:eastAsia="ja-JP"/>
        </w:rPr>
        <w:t xml:space="preserve"> should be supported for t</w:t>
      </w:r>
      <w:r>
        <w:t>he ‘long PUCCH’</w:t>
      </w:r>
    </w:p>
    <w:p w14:paraId="02C8484D" w14:textId="77777777" w:rsidR="009C7658" w:rsidRDefault="009C7658" w:rsidP="009C7658">
      <w:pPr>
        <w:pStyle w:val="BodyText"/>
        <w:overflowPunct/>
        <w:autoSpaceDE/>
        <w:autoSpaceDN/>
        <w:adjustRightInd/>
        <w:spacing w:after="0"/>
        <w:ind w:left="720"/>
        <w:textAlignment w:val="auto"/>
      </w:pPr>
    </w:p>
    <w:p w14:paraId="2706E8D4" w14:textId="7EF671F7" w:rsidR="0088417A" w:rsidRPr="00D60653" w:rsidRDefault="009C7658" w:rsidP="00D54574">
      <w:pPr>
        <w:jc w:val="both"/>
        <w:rPr>
          <w:lang w:val="en-GB"/>
        </w:rPr>
      </w:pPr>
      <w:r>
        <w:rPr>
          <w:lang w:val="en-GB"/>
        </w:rPr>
        <w:t>T</w:t>
      </w:r>
      <w:r w:rsidR="00E94772">
        <w:rPr>
          <w:lang w:val="en-GB"/>
        </w:rPr>
        <w:t>he long</w:t>
      </w:r>
      <w:r w:rsidR="001532B6">
        <w:rPr>
          <w:lang w:val="en-GB"/>
        </w:rPr>
        <w:t xml:space="preserve"> PUCCH </w:t>
      </w:r>
      <w:r w:rsidR="00E94772">
        <w:rPr>
          <w:lang w:val="en-GB"/>
        </w:rPr>
        <w:t>format need</w:t>
      </w:r>
      <w:r>
        <w:rPr>
          <w:lang w:val="en-GB"/>
        </w:rPr>
        <w:t>s</w:t>
      </w:r>
      <w:r w:rsidR="00E94772">
        <w:rPr>
          <w:lang w:val="en-GB"/>
        </w:rPr>
        <w:t xml:space="preserve"> to guarantee the performance for cell edge users that are link budget limited. In addition, since PUCCH will typically only support rank 1 transmission with low MCS, it is desirable to have a unified long PUCCH design based low PAPR/CM design to simplify both RAN1 specification and implementation efforts.</w:t>
      </w:r>
      <w:r w:rsidR="00D54574">
        <w:rPr>
          <w:lang w:val="en-GB"/>
        </w:rPr>
        <w:t xml:space="preserve"> </w:t>
      </w:r>
    </w:p>
    <w:p w14:paraId="357CB1BF" w14:textId="66F248F2" w:rsidR="0088417A" w:rsidRDefault="0088417A" w:rsidP="0088417A">
      <w:pPr>
        <w:jc w:val="both"/>
      </w:pPr>
      <w:r>
        <w:t xml:space="preserve">For a UE with more than one transmit antenna, a transmission diversity scheme can be applied to PUCCH to explore the channel </w:t>
      </w:r>
      <w:r w:rsidR="00E608BA">
        <w:t>diversity</w:t>
      </w:r>
      <w:r>
        <w:t xml:space="preserve"> gain to further improve the coverage of PUCCH. However, </w:t>
      </w:r>
      <w:r w:rsidR="00D60653">
        <w:t>not all transmit diversity schemes can be directly applied to single carrier waveforms</w:t>
      </w:r>
      <w:r>
        <w:t>. For example, SFBC transm</w:t>
      </w:r>
      <w:r w:rsidR="009C7658">
        <w:t>it diversity scheme, which applies</w:t>
      </w:r>
      <w:r>
        <w:t xml:space="preserve"> space frequency block coding over two adjacent frequency tones, </w:t>
      </w:r>
      <w:r w:rsidR="00D60653">
        <w:t>cannot</w:t>
      </w:r>
      <w:r>
        <w:t xml:space="preserve"> be applied to PUCCH, because the generated waveform with SFBC is not single carrier anymore. </w:t>
      </w:r>
    </w:p>
    <w:p w14:paraId="2C72000E" w14:textId="2FE68E4D" w:rsidR="0088417A" w:rsidRPr="0088417A" w:rsidRDefault="0088417A" w:rsidP="00D54574">
      <w:pPr>
        <w:jc w:val="both"/>
      </w:pPr>
      <w:r>
        <w:t xml:space="preserve">In LTE, SORTD (space orthogonal resource transmit diversity) is adopted for PUCCH. SORTD scheme utilizes two PUCCH </w:t>
      </w:r>
      <w:r w:rsidR="00E608BA">
        <w:t>resources</w:t>
      </w:r>
      <w:r>
        <w:t xml:space="preserve"> to transmit signals from two antennas. Therefore, SORTD can maintain the single carrier waveform for PUCCH.</w:t>
      </w:r>
      <w:r w:rsidR="00D60653">
        <w:t xml:space="preserve"> However, SORTD requires twice the amount of</w:t>
      </w:r>
      <w:r>
        <w:t xml:space="preserve"> PUCCH resources to achieve transmit diversity. </w:t>
      </w:r>
    </w:p>
    <w:p w14:paraId="4D96A732" w14:textId="2124B120" w:rsidR="00D54574" w:rsidRDefault="00D54574" w:rsidP="00D54574">
      <w:pPr>
        <w:jc w:val="both"/>
        <w:rPr>
          <w:lang w:val="en-GB"/>
        </w:rPr>
      </w:pPr>
      <w:r>
        <w:rPr>
          <w:lang w:val="en-GB"/>
        </w:rPr>
        <w:t>In this</w:t>
      </w:r>
      <w:r w:rsidR="00C73F9C">
        <w:rPr>
          <w:lang w:val="en-GB"/>
        </w:rPr>
        <w:t xml:space="preserve"> contribution, </w:t>
      </w:r>
      <w:r w:rsidR="004A3B86">
        <w:rPr>
          <w:lang w:val="en-GB"/>
        </w:rPr>
        <w:t xml:space="preserve">for PUCCH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STBC</w:t>
      </w:r>
      <w:r w:rsidR="007B1C28">
        <w:rPr>
          <w:lang w:val="en-GB"/>
        </w:rPr>
        <w:t xml:space="preserve"> </w:t>
      </w:r>
      <w:r w:rsidR="00D60653">
        <w:rPr>
          <w:lang w:val="en-GB"/>
        </w:rPr>
        <w:t xml:space="preserve">based </w:t>
      </w:r>
      <w:r w:rsidR="00224437">
        <w:rPr>
          <w:lang w:val="en-GB"/>
        </w:rPr>
        <w:t xml:space="preserve">scheme </w:t>
      </w:r>
      <w:r w:rsidR="007B1C28">
        <w:rPr>
          <w:lang w:val="en-GB"/>
        </w:rPr>
        <w:t>is proposed</w:t>
      </w:r>
      <w:r w:rsidR="00224437">
        <w:rPr>
          <w:lang w:val="en-GB"/>
        </w:rPr>
        <w:t xml:space="preserve"> for PUCCH transmit diversity</w:t>
      </w:r>
      <w:r w:rsidR="007B1C28">
        <w:rPr>
          <w:lang w:val="en-GB"/>
        </w:rPr>
        <w:t>. The proposed STBC scheme</w:t>
      </w:r>
      <w:r>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77777777" w:rsidR="00FA6F89" w:rsidRDefault="00FA6F89" w:rsidP="0004629F">
      <w:pPr>
        <w:pStyle w:val="ListParagraph"/>
        <w:numPr>
          <w:ilvl w:val="0"/>
          <w:numId w:val="5"/>
        </w:numPr>
      </w:pPr>
      <w:r>
        <w:t>does not increase PUCCH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66980602" w14:textId="79190DAF" w:rsidR="00E32978" w:rsidRDefault="004A3B86" w:rsidP="00E32978">
      <w:r>
        <w:t>For PUSCH, small delay CDD is a good candidate to achieve transmit diversity. T</w:t>
      </w:r>
      <w:r w:rsidR="00913654">
        <w:t xml:space="preserve">he </w:t>
      </w:r>
      <w:r>
        <w:t xml:space="preserve">small </w:t>
      </w:r>
      <w:r w:rsidR="00913654">
        <w:t xml:space="preserve">delay CDD scheme </w:t>
      </w:r>
      <w:r>
        <w:t>is</w:t>
      </w:r>
      <w:r w:rsidR="00913654">
        <w:t xml:space="preserve"> transparent to gNB. </w:t>
      </w:r>
      <w:r>
        <w:t>The small delay CDD can also keep the s</w:t>
      </w:r>
      <w:r w:rsidR="009E180C">
        <w:t xml:space="preserve">ingle carrier waveform property for PUSCH with DFT-S-OFDM waveform. Small delay CDD is also easy to implement at UE with low complexity. </w:t>
      </w:r>
    </w:p>
    <w:p w14:paraId="239B88FC" w14:textId="2B4EA393" w:rsidR="00AE3994" w:rsidRDefault="00AE3994" w:rsidP="00AE3994">
      <w:pPr>
        <w:jc w:val="both"/>
      </w:pPr>
      <w:r>
        <w:t xml:space="preserve">The details of STBC based </w:t>
      </w:r>
      <w:r w:rsidR="00224437">
        <w:t xml:space="preserve">transmit </w:t>
      </w:r>
      <w:r w:rsidR="00E608BA">
        <w:t>diversity</w:t>
      </w:r>
      <w:r w:rsidR="00224437">
        <w:t xml:space="preserve"> scheme </w:t>
      </w:r>
      <w:r w:rsidR="00AD0F01">
        <w:t xml:space="preserve">for PUCCH </w:t>
      </w:r>
      <w:r>
        <w:t xml:space="preserve">is discussed in Section </w:t>
      </w:r>
      <w:r>
        <w:fldChar w:fldCharType="begin"/>
      </w:r>
      <w:r>
        <w:instrText xml:space="preserve"> REF _Ref471311961 \r \h </w:instrText>
      </w:r>
      <w:r>
        <w:fldChar w:fldCharType="separate"/>
      </w:r>
      <w:r w:rsidR="00FB0621">
        <w:t>2</w:t>
      </w:r>
      <w:r>
        <w:fldChar w:fldCharType="end"/>
      </w:r>
      <w:r>
        <w:t xml:space="preserve">. </w:t>
      </w:r>
      <w:r w:rsidR="00AD0F01">
        <w:t>T</w:t>
      </w:r>
      <w:r w:rsidR="002709BC">
        <w:t xml:space="preserve">he </w:t>
      </w:r>
      <w:r w:rsidR="00AD0F01">
        <w:t xml:space="preserve">small </w:t>
      </w:r>
      <w:r w:rsidR="002709BC">
        <w:t>delay CDD scheme</w:t>
      </w:r>
      <w:r w:rsidR="009F1CDC">
        <w:t xml:space="preserve"> </w:t>
      </w:r>
      <w:r w:rsidR="00AD0F01">
        <w:t>for PUSCH is</w:t>
      </w:r>
      <w:r w:rsidR="002709BC">
        <w:t xml:space="preserve"> discussed in Section</w:t>
      </w:r>
      <w:r w:rsidR="009F1CDC">
        <w:t xml:space="preserve"> </w:t>
      </w:r>
      <w:r w:rsidR="005A0806">
        <w:fldChar w:fldCharType="begin"/>
      </w:r>
      <w:r w:rsidR="005A0806">
        <w:instrText xml:space="preserve"> REF _Ref471724565 \r \h </w:instrText>
      </w:r>
      <w:r w:rsidR="005A0806">
        <w:fldChar w:fldCharType="separate"/>
      </w:r>
      <w:r w:rsidR="00FB0621">
        <w:t>3</w:t>
      </w:r>
      <w:r w:rsidR="005A0806">
        <w:fldChar w:fldCharType="end"/>
      </w:r>
      <w:r w:rsidR="002709BC">
        <w:t xml:space="preserve">. </w:t>
      </w:r>
      <w:r>
        <w:t>The conclusions are listed in Section</w:t>
      </w:r>
      <w:r w:rsidR="005A0806">
        <w:t xml:space="preserve"> </w:t>
      </w:r>
      <w:r w:rsidR="005A0806">
        <w:fldChar w:fldCharType="begin"/>
      </w:r>
      <w:r w:rsidR="005A0806">
        <w:instrText xml:space="preserve"> REF _Ref471548674 \r \h </w:instrText>
      </w:r>
      <w:r w:rsidR="005A0806">
        <w:fldChar w:fldCharType="separate"/>
      </w:r>
      <w:r w:rsidR="00FB0621">
        <w:t>4</w:t>
      </w:r>
      <w:r w:rsidR="005A0806">
        <w:fldChar w:fldCharType="end"/>
      </w:r>
      <w:r>
        <w:t xml:space="preserve">. </w:t>
      </w:r>
    </w:p>
    <w:p w14:paraId="51FE8CD2" w14:textId="1FF2C19C" w:rsidR="00D10247" w:rsidRDefault="00D10247" w:rsidP="004B2D10">
      <w:pPr>
        <w:pStyle w:val="Heading1"/>
      </w:pPr>
      <w:bookmarkStart w:id="6" w:name="_Ref471311961"/>
      <w:bookmarkStart w:id="7" w:name="_Ref471567436"/>
      <w:bookmarkStart w:id="8" w:name="_Ref474166986"/>
      <w:r>
        <w:t xml:space="preserve">STBC </w:t>
      </w:r>
      <w:bookmarkEnd w:id="6"/>
      <w:bookmarkEnd w:id="7"/>
      <w:r w:rsidR="009F1CDC">
        <w:t>for PUCCH diversity</w:t>
      </w:r>
      <w:bookmarkEnd w:id="8"/>
      <w:r w:rsidR="002965B4">
        <w:t xml:space="preserve"> </w:t>
      </w:r>
    </w:p>
    <w:p w14:paraId="41B8C25B" w14:textId="41DEE95D" w:rsidR="008B518D" w:rsidRDefault="008E520D" w:rsidP="008B518D">
      <w:pPr>
        <w:jc w:val="both"/>
      </w:pPr>
      <w:r>
        <w:t xml:space="preserve">The proposed PUCCH transmit diversity scheme is a STBC scheme on modulated symbols before DFT operation. The time domain signal construction cross two OFDM symbols before DFT is given in </w:t>
      </w:r>
      <w:r>
        <w:fldChar w:fldCharType="begin"/>
      </w:r>
      <w:r>
        <w:instrText xml:space="preserve"> REF _Ref471549674 \h </w:instrText>
      </w:r>
      <w:r>
        <w:fldChar w:fldCharType="separate"/>
      </w:r>
      <w:r w:rsidR="00FB0621" w:rsidRPr="004D5E14">
        <w:rPr>
          <w:b/>
        </w:rPr>
        <w:t xml:space="preserve">Figure </w:t>
      </w:r>
      <w:r w:rsidR="00FB0621">
        <w:rPr>
          <w:b/>
          <w:noProof/>
        </w:rPr>
        <w:t>1</w:t>
      </w:r>
      <w:r>
        <w:fldChar w:fldCharType="end"/>
      </w:r>
      <w:r>
        <w:t xml:space="preserve">. </w:t>
      </w:r>
      <w:r w:rsidR="008B518D">
        <w:t xml:space="preserve">The modulated symbols in the first </w:t>
      </w:r>
      <w:r w:rsidR="008B518D">
        <w:lastRenderedPageBreak/>
        <w:t xml:space="preserve">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5.25pt" o:ole="">
            <v:imagedata r:id="rId12" o:title=""/>
          </v:shape>
          <o:OLEObject Type="Embed" ProgID="Equation.DSMT4" ShapeID="_x0000_i1025" DrawAspect="Content" ObjectID="_1547912753" r:id="rId13"/>
        </w:object>
      </w:r>
      <w:r w:rsidR="00E608BA">
        <w:t>where</w:t>
      </w:r>
      <w:r w:rsidR="008B518D" w:rsidRPr="008B518D">
        <w:rPr>
          <w:position w:val="-8"/>
        </w:rPr>
        <w:object w:dxaOrig="1620" w:dyaOrig="300" w14:anchorId="5D2D5CCF">
          <v:shape id="_x0000_i1026" type="#_x0000_t75" style="width:79.85pt;height:15.25pt" o:ole="">
            <v:imagedata r:id="rId14" o:title=""/>
          </v:shape>
          <o:OLEObject Type="Embed" ProgID="Equation.DSMT4" ShapeID="_x0000_i1026" DrawAspect="Content" ObjectID="_1547912754" r:id="rId15"/>
        </w:object>
      </w:r>
      <w:r w:rsidR="008B518D">
        <w:t xml:space="preserve">. The modulated symbols in the second OFDM symbol is denoted as </w:t>
      </w:r>
      <w:r w:rsidR="008B518D" w:rsidRPr="00C74FA4">
        <w:rPr>
          <w:position w:val="-10"/>
        </w:rPr>
        <w:object w:dxaOrig="499" w:dyaOrig="320" w14:anchorId="6D5CB804">
          <v:shape id="_x0000_i1027" type="#_x0000_t75" style="width:28.15pt;height:15.25pt" o:ole="">
            <v:imagedata r:id="rId16" o:title=""/>
          </v:shape>
          <o:OLEObject Type="Embed" ProgID="Equation.DSMT4" ShapeID="_x0000_i1027" DrawAspect="Content" ObjectID="_1547912755" r:id="rId17"/>
        </w:object>
      </w:r>
      <w:r w:rsidR="00E608BA">
        <w:t>where</w:t>
      </w:r>
      <w:r w:rsidR="008B518D" w:rsidRPr="008B518D">
        <w:rPr>
          <w:position w:val="-8"/>
        </w:rPr>
        <w:object w:dxaOrig="1620" w:dyaOrig="300" w14:anchorId="190C672B">
          <v:shape id="_x0000_i1028" type="#_x0000_t75" style="width:79.85pt;height:15.25pt" o:ole="">
            <v:imagedata r:id="rId14" o:title=""/>
          </v:shape>
          <o:OLEObject Type="Embed" ProgID="Equation.DSMT4" ShapeID="_x0000_i1028" DrawAspect="Content" ObjectID="_1547912756" r:id="rId18"/>
        </w:object>
      </w:r>
      <w:r w:rsidR="008B518D">
        <w:t xml:space="preserve">. For the first Tx antenna, as shown in </w:t>
      </w:r>
      <w:r w:rsidR="008B518D">
        <w:fldChar w:fldCharType="begin"/>
      </w:r>
      <w:r w:rsidR="008B518D">
        <w:instrText xml:space="preserve"> REF _Ref471550016 \h </w:instrText>
      </w:r>
      <w:r w:rsidR="008B518D">
        <w:fldChar w:fldCharType="separate"/>
      </w:r>
      <w:r w:rsidR="00FB0621" w:rsidRPr="004D5E14">
        <w:rPr>
          <w:b/>
        </w:rPr>
        <w:t xml:space="preserve">Figure </w:t>
      </w:r>
      <w:r w:rsidR="00FB0621">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FB0621" w:rsidRPr="004D5E14">
        <w:rPr>
          <w:b/>
        </w:rPr>
        <w:t xml:space="preserve">Figure </w:t>
      </w:r>
      <w:r w:rsidR="00FB0621">
        <w:rPr>
          <w:b/>
          <w:noProof/>
        </w:rPr>
        <w:t>3</w:t>
      </w:r>
      <w:r w:rsidR="008B518D">
        <w:fldChar w:fldCharType="end"/>
      </w:r>
      <w:r w:rsidR="008B518D">
        <w:t xml:space="preserve">, the modulated symbols </w:t>
      </w:r>
      <w:r w:rsidR="008B518D" w:rsidRPr="00C74FA4">
        <w:rPr>
          <w:position w:val="-10"/>
        </w:rPr>
        <w:object w:dxaOrig="499" w:dyaOrig="320" w14:anchorId="56AAE9F9">
          <v:shape id="_x0000_i1029" type="#_x0000_t75" style="width:28.15pt;height:15.25pt" o:ole="">
            <v:imagedata r:id="rId12" o:title=""/>
          </v:shape>
          <o:OLEObject Type="Embed" ProgID="Equation.DSMT4" ShapeID="_x0000_i1029" DrawAspect="Content" ObjectID="_1547912757" r:id="rId19"/>
        </w:object>
      </w:r>
      <w:r w:rsidR="008B518D">
        <w:t xml:space="preserve">and </w:t>
      </w:r>
      <w:r w:rsidR="008B518D" w:rsidRPr="00C74FA4">
        <w:rPr>
          <w:position w:val="-10"/>
        </w:rPr>
        <w:object w:dxaOrig="499" w:dyaOrig="320" w14:anchorId="1CF5EB9E">
          <v:shape id="_x0000_i1030" type="#_x0000_t75" style="width:28.15pt;height:15.25pt" o:ole="">
            <v:imagedata r:id="rId16" o:title=""/>
          </v:shape>
          <o:OLEObject Type="Embed" ProgID="Equation.DSMT4" ShapeID="_x0000_i1030" DrawAspect="Content" ObjectID="_1547912758"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Tx </w:t>
      </w:r>
      <w:r w:rsidR="00E608BA">
        <w:t>antenna</w:t>
      </w:r>
      <w:r w:rsidR="008B518D">
        <w:t xml:space="preserve">, the modulated symbols transmitted in the first OFDM symbol </w:t>
      </w:r>
      <w:r w:rsidR="00E608BA">
        <w:t>are</w:t>
      </w:r>
      <w:r w:rsidR="001B4C38">
        <w:t xml:space="preserve"> </w:t>
      </w:r>
      <w:r w:rsidR="00503516" w:rsidRPr="008B518D">
        <w:rPr>
          <w:position w:val="-16"/>
        </w:rPr>
        <w:object w:dxaOrig="2600" w:dyaOrig="480" w14:anchorId="4E23D3AA">
          <v:shape id="_x0000_i1031" type="#_x0000_t75" style="width:130.6pt;height:21.25pt" o:ole="">
            <v:imagedata r:id="rId21" o:title=""/>
          </v:shape>
          <o:OLEObject Type="Embed" ProgID="Equation.DSMT4" ShapeID="_x0000_i1031" DrawAspect="Content" ObjectID="_1547912759" r:id="rId22"/>
        </w:object>
      </w:r>
      <w:r w:rsidR="008B518D">
        <w:t xml:space="preserve">. The modulated symbols transmitted in the second OFDM symbol are </w:t>
      </w:r>
      <w:r w:rsidR="00F25608" w:rsidRPr="008B518D">
        <w:rPr>
          <w:position w:val="-16"/>
        </w:rPr>
        <w:object w:dxaOrig="2920" w:dyaOrig="480" w14:anchorId="4F7BFE45">
          <v:shape id="_x0000_i1032" type="#_x0000_t75" style="width:118.6pt;height:20.3pt" o:ole="">
            <v:imagedata r:id="rId23" o:title=""/>
          </v:shape>
          <o:OLEObject Type="Embed" ProgID="Equation.DSMT4" ShapeID="_x0000_i1032" DrawAspect="Content" ObjectID="_1547912760"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033" type="#_x0000_t75" style="width:99.25pt;height:21.25pt" o:ole="">
            <v:imagedata r:id="rId25" o:title=""/>
          </v:shape>
          <o:OLEObject Type="Embed" ProgID="Equation.DSMT4" ShapeID="_x0000_i1033" DrawAspect="Content" ObjectID="_1547912761" r:id="rId26"/>
        </w:object>
      </w:r>
      <w:r w:rsidR="00E3160A">
        <w:t xml:space="preserve">, </w:t>
      </w:r>
      <w:r w:rsidR="00F25608" w:rsidRPr="008B518D">
        <w:rPr>
          <w:position w:val="-16"/>
        </w:rPr>
        <w:object w:dxaOrig="2640" w:dyaOrig="540" w14:anchorId="31270259">
          <v:shape id="_x0000_i1034" type="#_x0000_t75" style="width:104.3pt;height:23.1pt" o:ole="">
            <v:imagedata r:id="rId27" o:title=""/>
          </v:shape>
          <o:OLEObject Type="Embed" ProgID="Equation.DSMT4" ShapeID="_x0000_i1034" DrawAspect="Content" ObjectID="_1547912762" r:id="rId28"/>
        </w:object>
      </w:r>
      <w:r w:rsidR="00E3160A">
        <w:t xml:space="preserve">, which allows per tone de-Alamouti combiner in </w:t>
      </w:r>
      <w:r w:rsidR="00E608BA">
        <w:t>frequency</w:t>
      </w:r>
      <w:r w:rsidR="00E3160A">
        <w:t xml:space="preserve"> domain at receiver. </w:t>
      </w:r>
    </w:p>
    <w:p w14:paraId="62D66AEA" w14:textId="31EAD896"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6.75pt;height:21.25pt" o:ole="">
            <v:imagedata r:id="rId29" o:title=""/>
          </v:shape>
          <o:OLEObject Type="Embed" ProgID="Equation.DSMT4" ShapeID="_x0000_i1035" DrawAspect="Content" ObjectID="_1547912763" r:id="rId30"/>
        </w:object>
      </w:r>
      <w:r>
        <w:t xml:space="preserve">and </w:t>
      </w:r>
      <w:r w:rsidRPr="008B518D">
        <w:rPr>
          <w:position w:val="-16"/>
        </w:rPr>
        <w:object w:dxaOrig="1880" w:dyaOrig="480" w14:anchorId="628FEB47">
          <v:shape id="_x0000_i1036" type="#_x0000_t75" style="width:93.25pt;height:21.25pt" o:ole="">
            <v:imagedata r:id="rId31" o:title=""/>
          </v:shape>
          <o:OLEObject Type="Embed" ProgID="Equation.DSMT4" ShapeID="_x0000_i1036" DrawAspect="Content" ObjectID="_1547912764" r:id="rId32"/>
        </w:object>
      </w:r>
      <w:r>
        <w:t xml:space="preserve">are then fed to the same waveform generation chain for the first and second OFDM symbols respectively, going through the same standard DFT-S-OFDM waveform generation chain as for the first Tx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PUCCH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30.3pt;height:122.75pt" o:ole="">
            <v:imagedata r:id="rId33" o:title=""/>
          </v:shape>
          <o:OLEObject Type="Embed" ProgID="Visio.Drawing.11" ShapeID="_x0000_i1037" DrawAspect="Content" ObjectID="_1547912765" r:id="rId34"/>
        </w:object>
      </w:r>
    </w:p>
    <w:p w14:paraId="31A22494" w14:textId="1D5FFB97" w:rsidR="008E520D" w:rsidRDefault="008E520D" w:rsidP="008E520D">
      <w:pPr>
        <w:jc w:val="center"/>
        <w:rPr>
          <w:b/>
        </w:rPr>
      </w:pPr>
      <w:bookmarkStart w:id="9"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1</w:t>
      </w:r>
      <w:r w:rsidRPr="004D5E14">
        <w:rPr>
          <w:b/>
          <w:noProof/>
        </w:rPr>
        <w:fldChar w:fldCharType="end"/>
      </w:r>
      <w:bookmarkEnd w:id="9"/>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55pt;height:2in" o:ole="">
            <v:imagedata r:id="rId35" o:title=""/>
          </v:shape>
          <o:OLEObject Type="Embed" ProgID="Visio.Drawing.11" ShapeID="_x0000_i1038" DrawAspect="Content" ObjectID="_1547912766" r:id="rId36"/>
        </w:object>
      </w:r>
    </w:p>
    <w:p w14:paraId="7715F7B2" w14:textId="657EAD81" w:rsidR="008E520D" w:rsidRDefault="008E520D" w:rsidP="008E520D">
      <w:pPr>
        <w:jc w:val="center"/>
      </w:pPr>
      <w:bookmarkStart w:id="10" w:name="_Ref47155001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2</w:t>
      </w:r>
      <w:r w:rsidRPr="004D5E14">
        <w:rPr>
          <w:b/>
          <w:noProof/>
        </w:rPr>
        <w:fldChar w:fldCharType="end"/>
      </w:r>
      <w:bookmarkEnd w:id="10"/>
      <w:r w:rsidRPr="004D5E14">
        <w:rPr>
          <w:b/>
        </w:rPr>
        <w:t xml:space="preserve">: </w:t>
      </w:r>
      <w:r>
        <w:rPr>
          <w:b/>
        </w:rPr>
        <w:t>PUCCH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55pt;height:2in" o:ole="">
            <v:imagedata r:id="rId37" o:title=""/>
          </v:shape>
          <o:OLEObject Type="Embed" ProgID="Visio.Drawing.11" ShapeID="_x0000_i1039" DrawAspect="Content" ObjectID="_1547912767" r:id="rId38"/>
        </w:object>
      </w:r>
    </w:p>
    <w:p w14:paraId="63B78675" w14:textId="7C560656" w:rsidR="008E520D" w:rsidRDefault="008E520D" w:rsidP="00E3160A">
      <w:pPr>
        <w:jc w:val="center"/>
      </w:pPr>
      <w:bookmarkStart w:id="11" w:name="_Ref47155001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3</w:t>
      </w:r>
      <w:r w:rsidRPr="004D5E14">
        <w:rPr>
          <w:b/>
          <w:noProof/>
        </w:rPr>
        <w:fldChar w:fldCharType="end"/>
      </w:r>
      <w:bookmarkEnd w:id="11"/>
      <w:r w:rsidRPr="004D5E14">
        <w:rPr>
          <w:b/>
        </w:rPr>
        <w:t xml:space="preserve">: </w:t>
      </w:r>
      <w:r>
        <w:rPr>
          <w:b/>
        </w:rPr>
        <w:t>PUCCH transmit chain with OFDM symbol 2</w:t>
      </w:r>
      <w:r w:rsidRPr="004D5E14">
        <w:rPr>
          <w:b/>
        </w:rPr>
        <w:t>.</w:t>
      </w:r>
    </w:p>
    <w:p w14:paraId="721E6A57" w14:textId="2614F9B0" w:rsidR="00A4586B" w:rsidRDefault="00E3160A" w:rsidP="00A4586B">
      <w:r>
        <w:rPr>
          <w:lang w:val="en-GB"/>
        </w:rPr>
        <w:t xml:space="preserve">The </w:t>
      </w:r>
      <w:r w:rsidR="00B60FCF">
        <w:rPr>
          <w:lang w:val="en-GB"/>
        </w:rPr>
        <w:t xml:space="preserve">receiver diagram for PUCCH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FB0621" w:rsidRPr="004D5E14">
        <w:rPr>
          <w:b/>
        </w:rPr>
        <w:t xml:space="preserve">Figure </w:t>
      </w:r>
      <w:r w:rsidR="00FB0621">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25pt;height:35.55pt" o:ole="">
            <v:imagedata r:id="rId39" o:title=""/>
          </v:shape>
          <o:OLEObject Type="Embed" ProgID="Equation.DSMT4" ShapeID="_x0000_i1040" DrawAspect="Content" ObjectID="_1547912768" r:id="rId40"/>
        </w:object>
      </w:r>
    </w:p>
    <w:p w14:paraId="72ECAF08" w14:textId="0D2C58B5" w:rsidR="00A4586B" w:rsidRDefault="00A4586B" w:rsidP="00A4586B">
      <w:r>
        <w:t>where</w:t>
      </w:r>
      <w:r w:rsidRPr="009F31B1">
        <w:rPr>
          <w:position w:val="-10"/>
        </w:rPr>
        <w:object w:dxaOrig="540" w:dyaOrig="320" w14:anchorId="640B5C4A">
          <v:shape id="_x0000_i1041" type="#_x0000_t75" style="width:28.15pt;height:15.25pt" o:ole="">
            <v:imagedata r:id="rId41" o:title=""/>
          </v:shape>
          <o:OLEObject Type="Embed" ProgID="Equation.DSMT4" ShapeID="_x0000_i1041" DrawAspect="Content" ObjectID="_1547912769" r:id="rId42"/>
        </w:object>
      </w:r>
      <w:r>
        <w:t xml:space="preserve">and </w:t>
      </w:r>
      <w:r w:rsidRPr="009F31B1">
        <w:rPr>
          <w:position w:val="-10"/>
        </w:rPr>
        <w:object w:dxaOrig="540" w:dyaOrig="320" w14:anchorId="22E073BA">
          <v:shape id="_x0000_i1042" type="#_x0000_t75" style="width:28.15pt;height:15.25pt" o:ole="">
            <v:imagedata r:id="rId43" o:title=""/>
          </v:shape>
          <o:OLEObject Type="Embed" ProgID="Equation.DSMT4" ShapeID="_x0000_i1042" DrawAspect="Content" ObjectID="_1547912770" r:id="rId44"/>
        </w:object>
      </w:r>
      <w:r>
        <w:t xml:space="preserve">are the DFT transform of </w:t>
      </w:r>
      <w:r w:rsidRPr="00C74FA4">
        <w:rPr>
          <w:position w:val="-10"/>
        </w:rPr>
        <w:object w:dxaOrig="499" w:dyaOrig="320" w14:anchorId="17C46F2E">
          <v:shape id="_x0000_i1043" type="#_x0000_t75" style="width:21.25pt;height:15.25pt" o:ole="">
            <v:imagedata r:id="rId12" o:title=""/>
          </v:shape>
          <o:OLEObject Type="Embed" ProgID="Equation.DSMT4" ShapeID="_x0000_i1043" DrawAspect="Content" ObjectID="_1547912771" r:id="rId45"/>
        </w:object>
      </w:r>
      <w:r>
        <w:t xml:space="preserve">and </w:t>
      </w:r>
      <w:r w:rsidRPr="00C74FA4">
        <w:rPr>
          <w:position w:val="-10"/>
        </w:rPr>
        <w:object w:dxaOrig="499" w:dyaOrig="320" w14:anchorId="65E9EB8F">
          <v:shape id="_x0000_i1044" type="#_x0000_t75" style="width:21.25pt;height:15.25pt" o:ole="">
            <v:imagedata r:id="rId46" o:title=""/>
          </v:shape>
          <o:OLEObject Type="Embed" ProgID="Equation.DSMT4" ShapeID="_x0000_i1044" DrawAspect="Content" ObjectID="_1547912772" r:id="rId47"/>
        </w:object>
      </w:r>
      <w:r>
        <w:t xml:space="preserve">respectively. </w:t>
      </w:r>
      <w:r w:rsidR="00F25608" w:rsidRPr="00F25608">
        <w:rPr>
          <w:position w:val="-12"/>
        </w:rPr>
        <w:object w:dxaOrig="639" w:dyaOrig="360" w14:anchorId="0743816D">
          <v:shape id="_x0000_i1045" type="#_x0000_t75" style="width:32.3pt;height:18pt" o:ole="">
            <v:imagedata r:id="rId48" o:title=""/>
          </v:shape>
          <o:OLEObject Type="Embed" ProgID="Equation.DSMT4" ShapeID="_x0000_i1045" DrawAspect="Content" ObjectID="_1547912773" r:id="rId49"/>
        </w:object>
      </w:r>
      <w:r w:rsidR="00F25608">
        <w:t xml:space="preserve">and </w:t>
      </w:r>
      <w:r w:rsidR="00F25608" w:rsidRPr="00F25608">
        <w:rPr>
          <w:position w:val="-12"/>
        </w:rPr>
        <w:object w:dxaOrig="660" w:dyaOrig="360" w14:anchorId="43C8E600">
          <v:shape id="_x0000_i1046" type="#_x0000_t75" style="width:33.25pt;height:18pt" o:ole="">
            <v:imagedata r:id="rId50" o:title=""/>
          </v:shape>
          <o:OLEObject Type="Embed" ProgID="Equation.DSMT4" ShapeID="_x0000_i1046" DrawAspect="Content" ObjectID="_1547912774" r:id="rId51"/>
        </w:object>
      </w:r>
      <w:r>
        <w:t xml:space="preserve"> are the channel from the first and second Tx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30pt;height:18pt" o:ole="">
            <v:imagedata r:id="rId52" o:title=""/>
          </v:shape>
          <o:OLEObject Type="Embed" ProgID="Equation.DSMT4" ShapeID="_x0000_i1047" DrawAspect="Content" ObjectID="_1547912775" r:id="rId53"/>
        </w:object>
      </w:r>
      <w:r w:rsidR="00F25608">
        <w:t xml:space="preserve">and </w:t>
      </w:r>
      <w:r w:rsidR="00F25608" w:rsidRPr="00F25608">
        <w:rPr>
          <w:position w:val="-12"/>
        </w:rPr>
        <w:object w:dxaOrig="620" w:dyaOrig="360" w14:anchorId="5C81A162">
          <v:shape id="_x0000_i1048" type="#_x0000_t75" style="width:30.9pt;height:18pt" o:ole="">
            <v:imagedata r:id="rId54" o:title=""/>
          </v:shape>
          <o:OLEObject Type="Embed" ProgID="Equation.DSMT4" ShapeID="_x0000_i1048" DrawAspect="Content" ObjectID="_1547912776" r:id="rId55"/>
        </w:object>
      </w:r>
      <w:r>
        <w:t xml:space="preserve">, </w:t>
      </w:r>
      <w:r w:rsidR="00051C51">
        <w:t>on each tone k, a very simple</w:t>
      </w:r>
      <w:r>
        <w:t xml:space="preserve"> </w:t>
      </w:r>
      <w:r w:rsidR="003C095E">
        <w:t>de-Alamouti</w:t>
      </w:r>
      <w:r>
        <w:t xml:space="preserve"> combiner can be applied as below, which explores the full diversity of channels </w:t>
      </w:r>
      <w:r w:rsidR="00F25608" w:rsidRPr="00F25608">
        <w:rPr>
          <w:position w:val="-12"/>
        </w:rPr>
        <w:object w:dxaOrig="639" w:dyaOrig="360" w14:anchorId="4225ADB8">
          <v:shape id="_x0000_i1049" type="#_x0000_t75" style="width:32.3pt;height:18pt" o:ole="">
            <v:imagedata r:id="rId48" o:title=""/>
          </v:shape>
          <o:OLEObject Type="Embed" ProgID="Equation.DSMT4" ShapeID="_x0000_i1049" DrawAspect="Content" ObjectID="_1547912777" r:id="rId56"/>
        </w:object>
      </w:r>
      <w:r>
        <w:t>and</w:t>
      </w:r>
      <w:r w:rsidR="00F25608">
        <w:t xml:space="preserve"> </w:t>
      </w:r>
      <w:r w:rsidR="00F25608" w:rsidRPr="00F25608">
        <w:rPr>
          <w:position w:val="-12"/>
        </w:rPr>
        <w:object w:dxaOrig="660" w:dyaOrig="360" w14:anchorId="27E4D793">
          <v:shape id="_x0000_i1050" type="#_x0000_t75" style="width:33.25pt;height:18pt" o:ole="">
            <v:imagedata r:id="rId50" o:title=""/>
          </v:shape>
          <o:OLEObject Type="Embed" ProgID="Equation.DSMT4" ShapeID="_x0000_i1050" DrawAspect="Content" ObjectID="_1547912778"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1pt;height:48pt" o:ole="">
            <v:imagedata r:id="rId58" o:title=""/>
          </v:shape>
          <o:OLEObject Type="Embed" ProgID="Equation.DSMT4" ShapeID="_x0000_i1051" DrawAspect="Content" ObjectID="_1547912779" r:id="rId59"/>
        </w:object>
      </w:r>
    </w:p>
    <w:p w14:paraId="7A30DF2A" w14:textId="37FE214B" w:rsidR="000F35B1" w:rsidRPr="008E520D" w:rsidRDefault="000F35B1" w:rsidP="00A4586B">
      <w:pPr>
        <w:rPr>
          <w:lang w:val="en-GB"/>
        </w:rPr>
      </w:pPr>
      <w:r>
        <w:rPr>
          <w:lang w:val="en-GB"/>
        </w:rPr>
        <w:t>After the de-Alamouti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663196" w:rsidP="00A4586B">
      <w:pPr>
        <w:jc w:val="center"/>
      </w:pPr>
      <w:r>
        <w:object w:dxaOrig="12486" w:dyaOrig="5761" w14:anchorId="4C6EAA70">
          <v:shape id="_x0000_i1052" type="#_x0000_t75" style="width:374.75pt;height:172.15pt" o:ole="">
            <v:imagedata r:id="rId60" o:title=""/>
          </v:shape>
          <o:OLEObject Type="Embed" ProgID="Visio.Drawing.11" ShapeID="_x0000_i1052" DrawAspect="Content" ObjectID="_1547912780" r:id="rId61"/>
        </w:object>
      </w:r>
    </w:p>
    <w:p w14:paraId="329C67F1" w14:textId="37BDFD15" w:rsidR="007007C6" w:rsidRDefault="00B60FCF" w:rsidP="00643785">
      <w:pPr>
        <w:jc w:val="center"/>
        <w:rPr>
          <w:b/>
        </w:rPr>
      </w:pPr>
      <w:bookmarkStart w:id="12" w:name="_Ref47155119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4</w:t>
      </w:r>
      <w:r w:rsidRPr="004D5E14">
        <w:rPr>
          <w:b/>
          <w:noProof/>
        </w:rPr>
        <w:fldChar w:fldCharType="end"/>
      </w:r>
      <w:bookmarkEnd w:id="12"/>
      <w:r w:rsidRPr="004D5E14">
        <w:rPr>
          <w:b/>
        </w:rPr>
        <w:t xml:space="preserve">: </w:t>
      </w:r>
      <w:r>
        <w:rPr>
          <w:b/>
        </w:rPr>
        <w:t xml:space="preserve">PUCCH receiver chain with STBC based </w:t>
      </w:r>
      <w:r w:rsidR="00E608BA">
        <w:rPr>
          <w:b/>
        </w:rPr>
        <w:t>diversity</w:t>
      </w:r>
      <w:r w:rsidRPr="004D5E14">
        <w:rPr>
          <w:b/>
        </w:rPr>
        <w:t>.</w:t>
      </w:r>
    </w:p>
    <w:p w14:paraId="6C8DBE85" w14:textId="132A9C52" w:rsidR="00D53B92" w:rsidRPr="00D53B92" w:rsidRDefault="00D53B92" w:rsidP="002841A3">
      <w:pPr>
        <w:rPr>
          <w:b/>
        </w:rPr>
      </w:pPr>
    </w:p>
    <w:p w14:paraId="7B07BE8E" w14:textId="77777777" w:rsidR="006A19E9" w:rsidRDefault="001C3D38" w:rsidP="006A19E9">
      <w:pPr>
        <w:jc w:val="both"/>
      </w:pPr>
      <w:bookmarkStart w:id="13" w:name="_Ref471573616"/>
      <w:bookmarkStart w:id="14" w:name="_Ref463027406"/>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End w:id="4"/>
      <w:bookmarkEnd w:id="5"/>
      <w:r>
        <w:lastRenderedPageBreak/>
        <w:t xml:space="preserve">STBC described above need even number of symbols. With odd number of symbols, STBC can still be applied with </w:t>
      </w:r>
      <w:r w:rsidR="00BB2AD1">
        <w:t xml:space="preserve">virtual </w:t>
      </w:r>
      <w:r>
        <w:t xml:space="preserve">symbol splitting. </w:t>
      </w:r>
      <w:bookmarkEnd w:id="13"/>
      <w:r w:rsidR="00BB2AD1">
        <w:t>Without changing the subcarrier spacing, one</w:t>
      </w:r>
      <w:r w:rsidR="00BE52B9">
        <w:t xml:space="preserve"> OFDM symbol </w:t>
      </w:r>
      <w:r w:rsidR="00BB2AD1">
        <w:t xml:space="preserve">can be split </w:t>
      </w:r>
      <w:r w:rsidR="00BE52B9">
        <w:t xml:space="preserve">into two half-symbols before DFT. </w:t>
      </w:r>
    </w:p>
    <w:p w14:paraId="346F0322" w14:textId="3A48450C" w:rsidR="0004629F" w:rsidRPr="006A19E9" w:rsidRDefault="006A19E9" w:rsidP="006A19E9">
      <w:pPr>
        <w:jc w:val="both"/>
      </w:pPr>
      <w:r>
        <w:t xml:space="preserve">Now, </w:t>
      </w:r>
      <w:r>
        <w:rPr>
          <w:lang w:val="en-GB"/>
        </w:rPr>
        <w:t>after</w:t>
      </w:r>
      <w:r w:rsidR="00F567CB">
        <w:rPr>
          <w:lang w:val="en-GB"/>
        </w:rPr>
        <w:t xml:space="preserve"> </w:t>
      </w:r>
      <w:r>
        <w:rPr>
          <w:lang w:val="en-GB"/>
        </w:rPr>
        <w:t xml:space="preserve">virtual </w:t>
      </w:r>
      <w:r w:rsidR="0058667B">
        <w:rPr>
          <w:lang w:val="en-GB"/>
        </w:rPr>
        <w:t xml:space="preserve">symbol </w:t>
      </w:r>
      <w:r w:rsidR="00F567CB">
        <w:rPr>
          <w:lang w:val="en-GB"/>
        </w:rPr>
        <w:t>splitting</w:t>
      </w:r>
      <w:r w:rsidR="0058667B">
        <w:rPr>
          <w:lang w:val="en-GB"/>
        </w:rPr>
        <w:t>, there are even number of half-symbols available. Then we treat each half-symbol as if it is a reg</w:t>
      </w:r>
      <w:r w:rsidR="005B3DA4">
        <w:rPr>
          <w:lang w:val="en-GB"/>
        </w:rPr>
        <w:t>ular OFDM symbol and apply STBC</w:t>
      </w:r>
      <w:r>
        <w:t xml:space="preserve">, as shown in </w:t>
      </w:r>
      <w:r>
        <w:fldChar w:fldCharType="begin"/>
      </w:r>
      <w:r>
        <w:instrText xml:space="preserve"> REF _Ref473820732 \h </w:instrText>
      </w:r>
      <w:r>
        <w:fldChar w:fldCharType="separate"/>
      </w:r>
      <w:r w:rsidR="005B3DA4" w:rsidRPr="004D5E14">
        <w:rPr>
          <w:b/>
        </w:rPr>
        <w:t xml:space="preserve">Figure </w:t>
      </w:r>
      <w:r w:rsidR="005B3DA4">
        <w:rPr>
          <w:b/>
          <w:noProof/>
        </w:rPr>
        <w:t>5</w:t>
      </w:r>
      <w:r>
        <w:fldChar w:fldCharType="end"/>
      </w:r>
      <w:r w:rsidR="005915D1">
        <w:rPr>
          <w:lang w:val="en-GB"/>
        </w:rPr>
        <w:t>.</w:t>
      </w:r>
      <w:r w:rsidR="00AF024E">
        <w:rPr>
          <w:lang w:val="en-GB"/>
        </w:rPr>
        <w:t xml:space="preserve"> </w:t>
      </w:r>
      <w:r w:rsidR="00FA0F5E">
        <w:rPr>
          <w:lang w:val="en-GB"/>
        </w:rPr>
        <w:t xml:space="preserve">The only different between </w:t>
      </w:r>
      <w:r w:rsidR="00FA0F5E">
        <w:fldChar w:fldCharType="begin"/>
      </w:r>
      <w:r w:rsidR="00FA0F5E">
        <w:instrText xml:space="preserve"> REF _Ref473820732 \h </w:instrText>
      </w:r>
      <w:r w:rsidR="00FA0F5E">
        <w:fldChar w:fldCharType="separate"/>
      </w:r>
      <w:r w:rsidR="00FA0F5E" w:rsidRPr="004D5E14">
        <w:rPr>
          <w:b/>
        </w:rPr>
        <w:t xml:space="preserve">Figure </w:t>
      </w:r>
      <w:r w:rsidR="00FA0F5E">
        <w:rPr>
          <w:b/>
          <w:noProof/>
        </w:rPr>
        <w:t>5</w:t>
      </w:r>
      <w:r w:rsidR="00FA0F5E">
        <w:fldChar w:fldCharType="end"/>
      </w:r>
      <w:r w:rsidR="00FA0F5E">
        <w:t xml:space="preserve"> and </w:t>
      </w:r>
      <w:r w:rsidR="00FA0F5E">
        <w:fldChar w:fldCharType="begin"/>
      </w:r>
      <w:r w:rsidR="00FA0F5E">
        <w:instrText xml:space="preserve"> REF _Ref471549674 \h </w:instrText>
      </w:r>
      <w:r w:rsidR="00FA0F5E">
        <w:fldChar w:fldCharType="separate"/>
      </w:r>
      <w:r w:rsidR="00FA0F5E" w:rsidRPr="004D5E14">
        <w:rPr>
          <w:b/>
        </w:rPr>
        <w:t xml:space="preserve">Figure </w:t>
      </w:r>
      <w:r w:rsidR="00FA0F5E">
        <w:rPr>
          <w:b/>
          <w:noProof/>
        </w:rPr>
        <w:t>1</w:t>
      </w:r>
      <w:r w:rsidR="00FA0F5E">
        <w:fldChar w:fldCharType="end"/>
      </w:r>
      <w:r w:rsidR="00FA0F5E">
        <w:t xml:space="preserve"> is that the length of modulated symbols for </w:t>
      </w:r>
      <w:r w:rsidR="00FA0F5E" w:rsidRPr="00C74FA4">
        <w:rPr>
          <w:position w:val="-10"/>
        </w:rPr>
        <w:object w:dxaOrig="499" w:dyaOrig="320" w14:anchorId="659A6A5A">
          <v:shape id="_x0000_i1053" type="#_x0000_t75" style="width:28.15pt;height:15.25pt" o:ole="">
            <v:imagedata r:id="rId12" o:title=""/>
          </v:shape>
          <o:OLEObject Type="Embed" ProgID="Equation.DSMT4" ShapeID="_x0000_i1053" DrawAspect="Content" ObjectID="_1547912781" r:id="rId62"/>
        </w:object>
      </w:r>
      <w:r w:rsidR="00FA0F5E">
        <w:t xml:space="preserve">and </w:t>
      </w:r>
      <w:r w:rsidR="00FA0F5E" w:rsidRPr="00C74FA4">
        <w:rPr>
          <w:position w:val="-10"/>
        </w:rPr>
        <w:object w:dxaOrig="499" w:dyaOrig="320" w14:anchorId="3DF21805">
          <v:shape id="_x0000_i1054" type="#_x0000_t75" style="width:28.15pt;height:15.25pt" o:ole="">
            <v:imagedata r:id="rId16" o:title=""/>
          </v:shape>
          <o:OLEObject Type="Embed" ProgID="Equation.DSMT4" ShapeID="_x0000_i1054" DrawAspect="Content" ObjectID="_1547912782" r:id="rId63"/>
        </w:object>
      </w:r>
      <w:r w:rsidR="00FA0F5E">
        <w:t xml:space="preserve">is reduced to </w:t>
      </w:r>
      <w:r w:rsidR="00FA0F5E" w:rsidRPr="00FA0F5E">
        <w:rPr>
          <w:position w:val="-24"/>
        </w:rPr>
        <w:object w:dxaOrig="360" w:dyaOrig="620" w14:anchorId="7FD77BD8">
          <v:shape id="_x0000_i1055" type="#_x0000_t75" style="width:17.1pt;height:30pt" o:ole="">
            <v:imagedata r:id="rId64" o:title=""/>
          </v:shape>
          <o:OLEObject Type="Embed" ProgID="Equation.DSMT4" ShapeID="_x0000_i1055" DrawAspect="Content" ObjectID="_1547912783" r:id="rId65"/>
        </w:object>
      </w:r>
      <w:r w:rsidR="00FA0F5E">
        <w:t xml:space="preserve">, i.e., </w:t>
      </w:r>
      <w:r w:rsidR="00FA0F5E" w:rsidRPr="00FA0F5E">
        <w:rPr>
          <w:position w:val="-24"/>
        </w:rPr>
        <w:object w:dxaOrig="1660" w:dyaOrig="620" w14:anchorId="0B905D0C">
          <v:shape id="_x0000_i1056" type="#_x0000_t75" style="width:81.25pt;height:30pt" o:ole="">
            <v:imagedata r:id="rId66" o:title=""/>
          </v:shape>
          <o:OLEObject Type="Embed" ProgID="Equation.DSMT4" ShapeID="_x0000_i1056" DrawAspect="Content" ObjectID="_1547912784" r:id="rId67"/>
        </w:object>
      </w:r>
      <w:r w:rsidR="00FA0F5E">
        <w:t xml:space="preserve">. </w:t>
      </w:r>
    </w:p>
    <w:p w14:paraId="203F4CE5" w14:textId="77777777" w:rsidR="00BB2AD1" w:rsidRDefault="006A19E9" w:rsidP="00BB2AD1">
      <w:pPr>
        <w:jc w:val="center"/>
      </w:pPr>
      <w:r w:rsidRPr="00364909">
        <w:object w:dxaOrig="5415" w:dyaOrig="2868" w14:anchorId="6B07AB30">
          <v:shape id="_x0000_i1057" type="#_x0000_t75" style="width:230.3pt;height:122.75pt" o:ole="">
            <v:imagedata r:id="rId68" o:title=""/>
          </v:shape>
          <o:OLEObject Type="Embed" ProgID="Visio.Drawing.11" ShapeID="_x0000_i1057" DrawAspect="Content" ObjectID="_1547912785" r:id="rId69"/>
        </w:object>
      </w:r>
    </w:p>
    <w:p w14:paraId="57D6F206" w14:textId="37C74BE6" w:rsidR="00BB2AD1" w:rsidRPr="00BB2AD1" w:rsidRDefault="00BB2AD1" w:rsidP="00BB2AD1">
      <w:pPr>
        <w:jc w:val="center"/>
        <w:rPr>
          <w:b/>
        </w:rPr>
      </w:pPr>
      <w:bookmarkStart w:id="22" w:name="_Ref47382073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5</w:t>
      </w:r>
      <w:r w:rsidRPr="004D5E14">
        <w:rPr>
          <w:b/>
          <w:noProof/>
        </w:rPr>
        <w:fldChar w:fldCharType="end"/>
      </w:r>
      <w:bookmarkEnd w:id="22"/>
      <w:r w:rsidRPr="004D5E14">
        <w:rPr>
          <w:b/>
        </w:rPr>
        <w:t xml:space="preserve">: </w:t>
      </w:r>
      <w:r>
        <w:rPr>
          <w:b/>
        </w:rPr>
        <w:t>Time domain signal construction over two virtually split OFDM symbols</w:t>
      </w:r>
      <w:r w:rsidRPr="004D5E14">
        <w:rPr>
          <w:b/>
        </w:rPr>
        <w:t>.</w:t>
      </w:r>
    </w:p>
    <w:p w14:paraId="496687D0" w14:textId="77777777" w:rsidR="00DE09F2" w:rsidRDefault="004F407C" w:rsidP="00E3160A">
      <w:r>
        <w:t>The recei</w:t>
      </w:r>
      <w:r w:rsidR="00DE0CAD">
        <w:t xml:space="preserve">ver </w:t>
      </w:r>
      <w:r w:rsidR="003830C0">
        <w:t xml:space="preserve">structure </w:t>
      </w:r>
      <w:r w:rsidR="00DE0CAD">
        <w:t xml:space="preserve">for PUCCH with </w:t>
      </w:r>
      <w:r w:rsidR="00E608BA">
        <w:t>virtually</w:t>
      </w:r>
      <w:r w:rsidR="00DE0CAD">
        <w:t xml:space="preserve"> split symbol based STBC</w:t>
      </w:r>
      <w:r w:rsidR="003830C0">
        <w:t xml:space="preserve"> is given</w:t>
      </w:r>
      <w:r w:rsidR="00BB2AD1">
        <w:t xml:space="preserve"> in</w:t>
      </w:r>
      <w:r w:rsidR="003830C0">
        <w:t xml:space="preserve"> Appendix </w:t>
      </w:r>
      <w:r w:rsidR="003830C0">
        <w:fldChar w:fldCharType="begin"/>
      </w:r>
      <w:r w:rsidR="003830C0">
        <w:instrText xml:space="preserve"> REF _Ref471572802 \r \h </w:instrText>
      </w:r>
      <w:r w:rsidR="003830C0">
        <w:fldChar w:fldCharType="separate"/>
      </w:r>
      <w:r w:rsidR="00FB0621">
        <w:t>5.1</w:t>
      </w:r>
      <w:r w:rsidR="003830C0">
        <w:fldChar w:fldCharType="end"/>
      </w:r>
      <w:r w:rsidR="003830C0">
        <w:t xml:space="preserve">. </w:t>
      </w:r>
      <w:r>
        <w:t xml:space="preserve"> </w:t>
      </w:r>
    </w:p>
    <w:p w14:paraId="7624AE1C" w14:textId="022EF2E2" w:rsidR="00836E03" w:rsidRPr="001852E7" w:rsidRDefault="006A19E9" w:rsidP="00E3160A">
      <w:r w:rsidRPr="001852E7">
        <w:t xml:space="preserve">Also, </w:t>
      </w:r>
      <w:r w:rsidR="00B7388C" w:rsidRPr="001852E7">
        <w:t>i</w:t>
      </w:r>
      <w:r w:rsidR="00DE09F2" w:rsidRPr="001852E7">
        <w:t xml:space="preserve">t is very interesting that </w:t>
      </w:r>
      <w:r w:rsidRPr="001852E7">
        <w:t>this virtual split symbol based STBC scheme has some similarity</w:t>
      </w:r>
      <w:r w:rsidR="00DE09F2" w:rsidRPr="001852E7">
        <w:t xml:space="preserve"> comparing</w:t>
      </w:r>
      <w:r w:rsidRPr="001852E7">
        <w:t xml:space="preserve"> to the </w:t>
      </w:r>
      <w:r w:rsidR="00B7388C" w:rsidRPr="001852E7">
        <w:t>PAPR preserving</w:t>
      </w:r>
      <w:r w:rsidRPr="001852E7">
        <w:t xml:space="preserve"> </w:t>
      </w:r>
      <w:r w:rsidR="00B7388C" w:rsidRPr="001852E7">
        <w:t>SC-</w:t>
      </w:r>
      <w:r w:rsidRPr="001852E7">
        <w:t>SFBC</w:t>
      </w:r>
      <w:r w:rsidR="00B7388C" w:rsidRPr="001852E7">
        <w:t xml:space="preserve"> (Single carrier SFBC)</w:t>
      </w:r>
      <w:r w:rsidRPr="001852E7">
        <w:t xml:space="preserve"> scheme proposed in </w:t>
      </w:r>
      <w:r w:rsidR="00B7388C" w:rsidRPr="001852E7">
        <w:fldChar w:fldCharType="begin"/>
      </w:r>
      <w:r w:rsidR="00B7388C" w:rsidRPr="001852E7">
        <w:instrText xml:space="preserve"> REF _Ref473822461 \r \h  \* MERGEFORMAT </w:instrText>
      </w:r>
      <w:r w:rsidR="00B7388C" w:rsidRPr="001852E7">
        <w:fldChar w:fldCharType="separate"/>
      </w:r>
      <w:r w:rsidR="00B7388C" w:rsidRPr="001852E7">
        <w:t>[3]</w:t>
      </w:r>
      <w:r w:rsidR="00B7388C" w:rsidRPr="001852E7">
        <w:fldChar w:fldCharType="end"/>
      </w:r>
      <w:r w:rsidRPr="001852E7">
        <w:t>. The similarity and difference between the single carrier SFBC and virtual split based STBC is described in Appendix</w:t>
      </w:r>
      <w:r w:rsidR="00187BCF" w:rsidRPr="001852E7">
        <w:t xml:space="preserve"> </w:t>
      </w:r>
      <w:r w:rsidR="00187BCF" w:rsidRPr="001852E7">
        <w:fldChar w:fldCharType="begin"/>
      </w:r>
      <w:r w:rsidR="00187BCF" w:rsidRPr="001852E7">
        <w:instrText xml:space="preserve"> REF _Ref473822690 \r \h </w:instrText>
      </w:r>
      <w:r w:rsidR="001852E7" w:rsidRPr="001852E7">
        <w:instrText xml:space="preserve"> \* MERGEFORMAT </w:instrText>
      </w:r>
      <w:r w:rsidR="00187BCF" w:rsidRPr="001852E7">
        <w:fldChar w:fldCharType="separate"/>
      </w:r>
      <w:r w:rsidR="00187BCF" w:rsidRPr="001852E7">
        <w:t>5.2</w:t>
      </w:r>
      <w:r w:rsidR="00187BCF" w:rsidRPr="001852E7">
        <w:fldChar w:fldCharType="end"/>
      </w:r>
      <w:r w:rsidRPr="001852E7">
        <w:t>.</w:t>
      </w:r>
      <w:r w:rsidR="00DE09F2" w:rsidRPr="001852E7">
        <w:t xml:space="preserve"> </w:t>
      </w:r>
    </w:p>
    <w:p w14:paraId="1B03B36A" w14:textId="218C6F2C" w:rsidR="00EA5631" w:rsidRDefault="00EA5631" w:rsidP="00EA5631">
      <w:pPr>
        <w:rPr>
          <w:rFonts w:ascii="Calibri" w:eastAsia="Calibri" w:hAnsi="Calibri"/>
          <w:b/>
          <w:i/>
          <w:sz w:val="22"/>
          <w:szCs w:val="22"/>
          <w:lang w:val="en-GB"/>
        </w:rPr>
      </w:pPr>
      <w:bookmarkStart w:id="23" w:name="_Ref471548661"/>
      <w:bookmarkStart w:id="24" w:name="_Ref471724565"/>
      <w:bookmarkStart w:id="25" w:name="_Ref471331287"/>
      <w:r>
        <w:rPr>
          <w:b/>
          <w:i/>
          <w:u w:val="single"/>
          <w:lang w:val="en-GB"/>
        </w:rPr>
        <w:t>Proposal 1:</w:t>
      </w:r>
      <w:r w:rsidRPr="00056675">
        <w:rPr>
          <w:b/>
          <w:i/>
          <w:lang w:val="en-GB"/>
        </w:rPr>
        <w:t xml:space="preserve"> </w:t>
      </w:r>
      <w:r>
        <w:rPr>
          <w:b/>
          <w:i/>
          <w:lang w:val="en-GB"/>
        </w:rPr>
        <w:t xml:space="preserve">adopt at least STBC as </w:t>
      </w:r>
      <w:r w:rsidR="00566B77">
        <w:rPr>
          <w:b/>
          <w:i/>
          <w:lang w:val="en-GB"/>
        </w:rPr>
        <w:t>described</w:t>
      </w:r>
      <w:r>
        <w:rPr>
          <w:b/>
          <w:i/>
          <w:lang w:val="en-GB"/>
        </w:rPr>
        <w:t xml:space="preserve"> in </w:t>
      </w:r>
      <w:r w:rsidRPr="00653903">
        <w:rPr>
          <w:b/>
          <w:i/>
          <w:lang w:val="en-GB"/>
        </w:rPr>
        <w:t xml:space="preserve">Section </w:t>
      </w:r>
      <w:r w:rsidRPr="00653903">
        <w:rPr>
          <w:b/>
          <w:i/>
          <w:lang w:val="en-GB"/>
        </w:rPr>
        <w:fldChar w:fldCharType="begin"/>
      </w:r>
      <w:r w:rsidRPr="00653903">
        <w:rPr>
          <w:b/>
          <w:i/>
          <w:lang w:val="en-GB"/>
        </w:rPr>
        <w:instrText xml:space="preserve"> REF _Ref474166986 \r \h </w:instrText>
      </w:r>
      <w:r>
        <w:rPr>
          <w:b/>
          <w:i/>
          <w:lang w:val="en-GB"/>
        </w:rPr>
        <w:instrText xml:space="preserve"> \* MERGEFORMAT </w:instrText>
      </w:r>
      <w:r w:rsidRPr="00653903">
        <w:rPr>
          <w:b/>
          <w:i/>
          <w:lang w:val="en-GB"/>
        </w:rPr>
      </w:r>
      <w:r w:rsidRPr="00653903">
        <w:rPr>
          <w:b/>
          <w:i/>
          <w:lang w:val="en-GB"/>
        </w:rPr>
        <w:fldChar w:fldCharType="separate"/>
      </w:r>
      <w:r w:rsidRPr="00653903">
        <w:rPr>
          <w:b/>
          <w:i/>
          <w:lang w:val="en-GB"/>
        </w:rPr>
        <w:t>2</w:t>
      </w:r>
      <w:r w:rsidRPr="00653903">
        <w:rPr>
          <w:b/>
          <w:i/>
          <w:lang w:val="en-GB"/>
        </w:rPr>
        <w:fldChar w:fldCharType="end"/>
      </w:r>
      <w:r>
        <w:rPr>
          <w:b/>
          <w:i/>
          <w:lang w:val="en-GB"/>
        </w:rPr>
        <w:t xml:space="preserve"> for the transmission diversity scheme for </w:t>
      </w:r>
      <w:r w:rsidR="00157DF7">
        <w:rPr>
          <w:b/>
          <w:i/>
          <w:lang w:val="en-GB"/>
        </w:rPr>
        <w:t xml:space="preserve">DFT-S-OFDM based </w:t>
      </w:r>
      <w:r>
        <w:rPr>
          <w:b/>
          <w:i/>
          <w:lang w:val="en-GB"/>
        </w:rPr>
        <w:t xml:space="preserve">PUCCH </w:t>
      </w:r>
      <w:r w:rsidR="00157DF7">
        <w:rPr>
          <w:b/>
          <w:i/>
          <w:lang w:val="en-GB"/>
        </w:rPr>
        <w:t>in</w:t>
      </w:r>
      <w:r>
        <w:rPr>
          <w:b/>
          <w:i/>
          <w:lang w:val="en-GB"/>
        </w:rPr>
        <w:t xml:space="preserve"> both long </w:t>
      </w:r>
      <w:r w:rsidR="00157DF7">
        <w:rPr>
          <w:b/>
          <w:i/>
          <w:lang w:val="en-GB"/>
        </w:rPr>
        <w:t xml:space="preserve">PUCCH </w:t>
      </w:r>
      <w:r>
        <w:rPr>
          <w:b/>
          <w:i/>
          <w:lang w:val="en-GB"/>
        </w:rPr>
        <w:t>duration and short duration.</w:t>
      </w:r>
    </w:p>
    <w:p w14:paraId="7806B435" w14:textId="77777777" w:rsidR="00EA5631" w:rsidRPr="00CC18C6" w:rsidRDefault="00EA5631" w:rsidP="00EA5631">
      <w:pPr>
        <w:pStyle w:val="ListParagraph"/>
        <w:numPr>
          <w:ilvl w:val="0"/>
          <w:numId w:val="9"/>
        </w:numPr>
        <w:rPr>
          <w:lang w:eastAsia="zh-CN"/>
        </w:rPr>
      </w:pPr>
      <w:r>
        <w:t>Virtual split of symbols can be considered for symbol pairing</w:t>
      </w:r>
    </w:p>
    <w:p w14:paraId="6A7D88F1" w14:textId="65C6B553" w:rsidR="002709BC" w:rsidRDefault="00217CD4" w:rsidP="002709BC">
      <w:pPr>
        <w:pStyle w:val="Heading1"/>
        <w:jc w:val="both"/>
      </w:pPr>
      <w:r>
        <w:t>Small delay CDD</w:t>
      </w:r>
      <w:r w:rsidR="002709BC">
        <w:t xml:space="preserve"> for </w:t>
      </w:r>
      <w:r>
        <w:t>PUSCH</w:t>
      </w:r>
      <w:r w:rsidR="002709BC">
        <w:t xml:space="preserve"> transmit diversity</w:t>
      </w:r>
      <w:bookmarkEnd w:id="23"/>
      <w:bookmarkEnd w:id="24"/>
    </w:p>
    <w:p w14:paraId="7FFAF610" w14:textId="73B78867" w:rsidR="00E1726F" w:rsidRDefault="008869E5" w:rsidP="00E1726F">
      <w:r>
        <w:t xml:space="preserve">For PUSCH, small delay CDD is a good candidate to achieve transmit diversity. The small delay CDD scheme is transparent to gNB. The small delay CDD can also keep the single carrier waveform property for PUSCH with DFT-S-OFDM waveform. Small delay CDD is also easy to implement at UE with low complexity. </w:t>
      </w:r>
      <w:r w:rsidR="003156EC">
        <w:t xml:space="preserve"> </w:t>
      </w:r>
    </w:p>
    <w:p w14:paraId="302D89F9" w14:textId="77777777" w:rsidR="00E02E11" w:rsidRPr="00E1726F" w:rsidRDefault="00E02E11" w:rsidP="00E02E11">
      <w:pPr>
        <w:rPr>
          <w:b/>
          <w:i/>
          <w:lang w:val="en-GB"/>
        </w:rPr>
      </w:pPr>
      <w:bookmarkStart w:id="26" w:name="_Ref471548674"/>
      <w:r>
        <w:rPr>
          <w:b/>
          <w:i/>
          <w:u w:val="single"/>
          <w:lang w:val="en-GB"/>
        </w:rPr>
        <w:t>Proposal 2:</w:t>
      </w:r>
      <w:r w:rsidRPr="00056675">
        <w:rPr>
          <w:b/>
          <w:i/>
          <w:lang w:val="en-GB"/>
        </w:rPr>
        <w:t xml:space="preserve"> </w:t>
      </w:r>
      <w:r>
        <w:rPr>
          <w:b/>
          <w:i/>
          <w:lang w:val="en-GB"/>
        </w:rPr>
        <w:t>Consider small delay CDD for UL transmission diversity scheme for PUSCH with both DFT-S-OFDM and CP-OFDM waveform.</w:t>
      </w:r>
    </w:p>
    <w:p w14:paraId="130A289D" w14:textId="5776BE87" w:rsidR="00E168E5" w:rsidRDefault="006341FE" w:rsidP="00E168E5">
      <w:pPr>
        <w:pStyle w:val="Heading1"/>
      </w:pPr>
      <w:r>
        <w:t>Conclusions</w:t>
      </w:r>
      <w:bookmarkEnd w:id="14"/>
      <w:bookmarkEnd w:id="25"/>
      <w:bookmarkEnd w:id="26"/>
    </w:p>
    <w:bookmarkEnd w:id="15"/>
    <w:bookmarkEnd w:id="16"/>
    <w:bookmarkEnd w:id="17"/>
    <w:bookmarkEnd w:id="18"/>
    <w:bookmarkEnd w:id="19"/>
    <w:bookmarkEnd w:id="20"/>
    <w:bookmarkEnd w:id="21"/>
    <w:p w14:paraId="09B3E83F" w14:textId="7F5EA934" w:rsidR="00521D24" w:rsidRDefault="00B425D3" w:rsidP="00521D24">
      <w:pPr>
        <w:rPr>
          <w:b/>
          <w:i/>
          <w:u w:val="single"/>
          <w:lang w:val="en-GB"/>
        </w:rPr>
      </w:pPr>
      <w:r>
        <w:rPr>
          <w:b/>
          <w:lang w:val="en-GB"/>
        </w:rPr>
        <w:t xml:space="preserve">The following proposals are for UL </w:t>
      </w:r>
      <w:r w:rsidR="00B02D72">
        <w:rPr>
          <w:b/>
          <w:lang w:val="en-GB"/>
        </w:rPr>
        <w:t xml:space="preserve">transmit </w:t>
      </w:r>
      <w:r w:rsidR="00E608BA">
        <w:rPr>
          <w:b/>
          <w:lang w:val="en-GB"/>
        </w:rPr>
        <w:t>diversity</w:t>
      </w:r>
      <w:r>
        <w:rPr>
          <w:b/>
          <w:lang w:val="en-GB"/>
        </w:rPr>
        <w:t>.</w:t>
      </w:r>
      <w:r w:rsidR="00A43963" w:rsidRPr="00A20A21">
        <w:rPr>
          <w:b/>
          <w:i/>
          <w:u w:val="single"/>
          <w:lang w:val="en-GB"/>
        </w:rPr>
        <w:t xml:space="preserve"> </w:t>
      </w:r>
    </w:p>
    <w:p w14:paraId="0C205FEB" w14:textId="77777777" w:rsidR="00157DF7" w:rsidRDefault="00157DF7" w:rsidP="00157DF7">
      <w:pPr>
        <w:rPr>
          <w:rFonts w:ascii="Calibri" w:eastAsia="Calibri" w:hAnsi="Calibri"/>
          <w:b/>
          <w:i/>
          <w:sz w:val="22"/>
          <w:szCs w:val="22"/>
          <w:lang w:val="en-GB"/>
        </w:rPr>
      </w:pPr>
      <w:r>
        <w:rPr>
          <w:b/>
          <w:i/>
          <w:u w:val="single"/>
          <w:lang w:val="en-GB"/>
        </w:rPr>
        <w:t>Proposal 1:</w:t>
      </w:r>
      <w:r w:rsidRPr="00056675">
        <w:rPr>
          <w:b/>
          <w:i/>
          <w:lang w:val="en-GB"/>
        </w:rPr>
        <w:t xml:space="preserve"> </w:t>
      </w:r>
      <w:r>
        <w:rPr>
          <w:b/>
          <w:i/>
          <w:lang w:val="en-GB"/>
        </w:rPr>
        <w:t xml:space="preserve">adopt at least STBC as described in </w:t>
      </w:r>
      <w:r w:rsidRPr="00653903">
        <w:rPr>
          <w:b/>
          <w:i/>
          <w:lang w:val="en-GB"/>
        </w:rPr>
        <w:t xml:space="preserve">Section </w:t>
      </w:r>
      <w:r w:rsidRPr="00653903">
        <w:rPr>
          <w:b/>
          <w:i/>
          <w:lang w:val="en-GB"/>
        </w:rPr>
        <w:fldChar w:fldCharType="begin"/>
      </w:r>
      <w:r w:rsidRPr="00653903">
        <w:rPr>
          <w:b/>
          <w:i/>
          <w:lang w:val="en-GB"/>
        </w:rPr>
        <w:instrText xml:space="preserve"> REF _Ref474166986 \r \h </w:instrText>
      </w:r>
      <w:r>
        <w:rPr>
          <w:b/>
          <w:i/>
          <w:lang w:val="en-GB"/>
        </w:rPr>
        <w:instrText xml:space="preserve"> \* MERGEFORMAT </w:instrText>
      </w:r>
      <w:r w:rsidRPr="00653903">
        <w:rPr>
          <w:b/>
          <w:i/>
          <w:lang w:val="en-GB"/>
        </w:rPr>
      </w:r>
      <w:r w:rsidRPr="00653903">
        <w:rPr>
          <w:b/>
          <w:i/>
          <w:lang w:val="en-GB"/>
        </w:rPr>
        <w:fldChar w:fldCharType="separate"/>
      </w:r>
      <w:r w:rsidRPr="00653903">
        <w:rPr>
          <w:b/>
          <w:i/>
          <w:lang w:val="en-GB"/>
        </w:rPr>
        <w:t>2</w:t>
      </w:r>
      <w:r w:rsidRPr="00653903">
        <w:rPr>
          <w:b/>
          <w:i/>
          <w:lang w:val="en-GB"/>
        </w:rPr>
        <w:fldChar w:fldCharType="end"/>
      </w:r>
      <w:r>
        <w:rPr>
          <w:b/>
          <w:i/>
          <w:lang w:val="en-GB"/>
        </w:rPr>
        <w:t xml:space="preserve"> for the transmission diversity scheme for DFT-S-OFDM based PUCCH in both long PUCCH duration and short duration.</w:t>
      </w:r>
    </w:p>
    <w:p w14:paraId="0F2322E0" w14:textId="510C7C02" w:rsidR="00DC78A9" w:rsidRPr="00CC18C6" w:rsidRDefault="00157DF7" w:rsidP="00157DF7">
      <w:pPr>
        <w:pStyle w:val="ListParagraph"/>
        <w:numPr>
          <w:ilvl w:val="0"/>
          <w:numId w:val="9"/>
        </w:numPr>
        <w:rPr>
          <w:lang w:eastAsia="zh-CN"/>
        </w:rPr>
      </w:pPr>
      <w:r>
        <w:t xml:space="preserve"> </w:t>
      </w:r>
      <w:r w:rsidR="00DD019A">
        <w:t>V</w:t>
      </w:r>
      <w:r w:rsidR="00EB73D8">
        <w:t>irtual split of symbols can be considered for symbol pairing</w:t>
      </w:r>
    </w:p>
    <w:p w14:paraId="1E456E77" w14:textId="77777777" w:rsidR="000B2380" w:rsidRDefault="000B2380" w:rsidP="000B2380">
      <w:pPr>
        <w:pStyle w:val="ListParagraph"/>
        <w:rPr>
          <w:lang w:eastAsia="zh-CN"/>
        </w:rPr>
      </w:pPr>
    </w:p>
    <w:p w14:paraId="48F5FC27" w14:textId="2C8F73E9" w:rsidR="007210ED" w:rsidRPr="00E1726F" w:rsidRDefault="007210ED" w:rsidP="007210ED">
      <w:pPr>
        <w:rPr>
          <w:b/>
          <w:i/>
          <w:lang w:val="en-GB"/>
        </w:rPr>
      </w:pPr>
      <w:r>
        <w:rPr>
          <w:b/>
          <w:i/>
          <w:u w:val="single"/>
          <w:lang w:val="en-GB"/>
        </w:rPr>
        <w:t>Proposal 2:</w:t>
      </w:r>
      <w:r w:rsidRPr="00056675">
        <w:rPr>
          <w:b/>
          <w:i/>
          <w:lang w:val="en-GB"/>
        </w:rPr>
        <w:t xml:space="preserve"> </w:t>
      </w:r>
      <w:r w:rsidR="00A67AEF">
        <w:rPr>
          <w:b/>
          <w:i/>
          <w:lang w:val="en-GB"/>
        </w:rPr>
        <w:t>C</w:t>
      </w:r>
      <w:r>
        <w:rPr>
          <w:b/>
          <w:i/>
          <w:lang w:val="en-GB"/>
        </w:rPr>
        <w:t xml:space="preserve">onsider </w:t>
      </w:r>
      <w:r w:rsidR="00EC1E44">
        <w:rPr>
          <w:b/>
          <w:i/>
          <w:lang w:val="en-GB"/>
        </w:rPr>
        <w:t xml:space="preserve">small </w:t>
      </w:r>
      <w:r>
        <w:rPr>
          <w:b/>
          <w:i/>
          <w:lang w:val="en-GB"/>
        </w:rPr>
        <w:t>delay CDD for UL transmission diversity scheme</w:t>
      </w:r>
      <w:r w:rsidR="006A37F1">
        <w:rPr>
          <w:b/>
          <w:i/>
          <w:lang w:val="en-GB"/>
        </w:rPr>
        <w:t xml:space="preserve"> for PUSCH</w:t>
      </w:r>
      <w:r w:rsidR="00444593">
        <w:rPr>
          <w:b/>
          <w:i/>
          <w:lang w:val="en-GB"/>
        </w:rPr>
        <w:t xml:space="preserve"> with both DFT-S-OFDM and CP-OFDM waveform</w:t>
      </w:r>
      <w:r>
        <w:rPr>
          <w:b/>
          <w:i/>
          <w:lang w:val="en-GB"/>
        </w:rPr>
        <w:t>.</w:t>
      </w:r>
    </w:p>
    <w:p w14:paraId="4271C530" w14:textId="14DC534B" w:rsidR="003A0D92" w:rsidRDefault="00CC18C6" w:rsidP="00CC18C6">
      <w:pPr>
        <w:pStyle w:val="Heading1"/>
        <w:rPr>
          <w:lang w:val="en-US"/>
        </w:rPr>
      </w:pPr>
      <w:r>
        <w:rPr>
          <w:lang w:val="en-US"/>
        </w:rPr>
        <w:lastRenderedPageBreak/>
        <w:t xml:space="preserve"> </w:t>
      </w:r>
      <w:r w:rsidR="003A0D92">
        <w:rPr>
          <w:lang w:val="en-US"/>
        </w:rPr>
        <w:t>Appendix</w:t>
      </w:r>
    </w:p>
    <w:p w14:paraId="76D2829B" w14:textId="245E7ED4" w:rsidR="003A0D92" w:rsidRDefault="003830C0" w:rsidP="003A0D92">
      <w:pPr>
        <w:pStyle w:val="Heading2"/>
      </w:pPr>
      <w:bookmarkStart w:id="27" w:name="_Ref471572802"/>
      <w:r>
        <w:t>STBC r</w:t>
      </w:r>
      <w:r w:rsidR="00BD57EC">
        <w:t xml:space="preserve">eceiver </w:t>
      </w:r>
      <w:r>
        <w:t xml:space="preserve">with </w:t>
      </w:r>
      <w:r w:rsidR="00E608BA">
        <w:t>virtual</w:t>
      </w:r>
      <w:r w:rsidR="00BD57EC">
        <w:t xml:space="preserve"> split symbol</w:t>
      </w:r>
      <w:bookmarkEnd w:id="27"/>
      <w:r>
        <w:t>s</w:t>
      </w:r>
      <w:r w:rsidR="00BD57EC">
        <w:t xml:space="preserve"> </w:t>
      </w:r>
    </w:p>
    <w:p w14:paraId="77282BEC" w14:textId="77777777" w:rsidR="003830C0" w:rsidRDefault="003830C0" w:rsidP="003830C0">
      <w:pPr>
        <w:jc w:val="center"/>
      </w:pPr>
      <w:r>
        <w:object w:dxaOrig="12486" w:dyaOrig="6363" w14:anchorId="632AAC7D">
          <v:shape id="_x0000_i1058" type="#_x0000_t75" style="width:453.7pt;height:230.3pt" o:ole="">
            <v:imagedata r:id="rId70" o:title=""/>
          </v:shape>
          <o:OLEObject Type="Embed" ProgID="Visio.Drawing.11" ShapeID="_x0000_i1058" DrawAspect="Content" ObjectID="_1547912786" r:id="rId71"/>
        </w:object>
      </w:r>
    </w:p>
    <w:p w14:paraId="5B29E7E1" w14:textId="58346407" w:rsidR="003830C0" w:rsidRDefault="003830C0" w:rsidP="003830C0">
      <w:pPr>
        <w:jc w:val="center"/>
        <w:rPr>
          <w:b/>
        </w:rPr>
      </w:pPr>
      <w:bookmarkStart w:id="28" w:name="_Ref47172636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BB2AD1">
        <w:rPr>
          <w:b/>
          <w:noProof/>
        </w:rPr>
        <w:t>6</w:t>
      </w:r>
      <w:r w:rsidRPr="004D5E14">
        <w:rPr>
          <w:b/>
          <w:noProof/>
        </w:rPr>
        <w:fldChar w:fldCharType="end"/>
      </w:r>
      <w:bookmarkEnd w:id="28"/>
      <w:r w:rsidRPr="004D5E14">
        <w:rPr>
          <w:b/>
        </w:rPr>
        <w:t xml:space="preserve">: </w:t>
      </w:r>
      <w:r>
        <w:rPr>
          <w:b/>
        </w:rPr>
        <w:t>PUCCH receiver chain with virtual split symbol STBC</w:t>
      </w:r>
      <w:r w:rsidRPr="004D5E14">
        <w:rPr>
          <w:b/>
        </w:rPr>
        <w:t>.</w:t>
      </w:r>
    </w:p>
    <w:p w14:paraId="490A12E1" w14:textId="77777777" w:rsidR="003830C0" w:rsidRPr="002841A3" w:rsidRDefault="003830C0" w:rsidP="002841A3"/>
    <w:p w14:paraId="479BB02C" w14:textId="67F01B8F" w:rsidR="003A0D92" w:rsidRDefault="003830C0" w:rsidP="003A0D92">
      <w:r>
        <w:t xml:space="preserve">As shown in </w:t>
      </w:r>
      <w:r>
        <w:fldChar w:fldCharType="begin"/>
      </w:r>
      <w:r>
        <w:instrText xml:space="preserve"> REF _Ref471726369 \h </w:instrText>
      </w:r>
      <w:r>
        <w:fldChar w:fldCharType="separate"/>
      </w:r>
      <w:r w:rsidR="00BB2AD1" w:rsidRPr="004D5E14">
        <w:rPr>
          <w:b/>
        </w:rPr>
        <w:t xml:space="preserve">Figure </w:t>
      </w:r>
      <w:r w:rsidR="00BB2AD1">
        <w:rPr>
          <w:b/>
          <w:noProof/>
        </w:rPr>
        <w:t>6</w:t>
      </w:r>
      <w:r>
        <w:fldChar w:fldCharType="end"/>
      </w:r>
      <w:r>
        <w:t>, a</w:t>
      </w:r>
      <w:r w:rsidR="003A0D92">
        <w:t xml:space="preserve">t gNB receiver side, N point FFT and tone extraction are performed to obtain the PUCCH signals </w:t>
      </w:r>
      <w:r w:rsidR="003A0D92" w:rsidRPr="00795CE0">
        <w:rPr>
          <w:position w:val="-10"/>
        </w:rPr>
        <w:object w:dxaOrig="540" w:dyaOrig="320" w14:anchorId="30B1FE5B">
          <v:shape id="_x0000_i1059" type="#_x0000_t75" style="width:28.15pt;height:15.25pt" o:ole="">
            <v:imagedata r:id="rId72" o:title=""/>
          </v:shape>
          <o:OLEObject Type="Embed" ProgID="Equation.DSMT4" ShapeID="_x0000_i1059" DrawAspect="Content" ObjectID="_1547912787" r:id="rId73"/>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60" type="#_x0000_t75" style="width:93.25pt;height:21.25pt" o:ole="">
            <v:imagedata r:id="rId74" o:title=""/>
          </v:shape>
          <o:OLEObject Type="Embed" ProgID="Equation.DSMT4" ShapeID="_x0000_i1060" DrawAspect="Content" ObjectID="_1547912788" r:id="rId75"/>
        </w:object>
      </w:r>
    </w:p>
    <w:p w14:paraId="4E7D49D5" w14:textId="2807469A" w:rsidR="003A0D92" w:rsidRDefault="00B5264E" w:rsidP="003A0D92">
      <w:r>
        <w:t>w</w:t>
      </w:r>
      <w:r w:rsidR="003A0D92">
        <w:t xml:space="preserve">here </w:t>
      </w:r>
      <w:r w:rsidR="003A0D92" w:rsidRPr="0036060B">
        <w:rPr>
          <w:position w:val="-12"/>
        </w:rPr>
        <w:object w:dxaOrig="520" w:dyaOrig="360" w14:anchorId="04CDEDA6">
          <v:shape id="_x0000_i1061" type="#_x0000_t75" style="width:28.15pt;height:21.25pt" o:ole="">
            <v:imagedata r:id="rId76" o:title=""/>
          </v:shape>
          <o:OLEObject Type="Embed" ProgID="Equation.DSMT4" ShapeID="_x0000_i1061" DrawAspect="Content" ObjectID="_1547912789" r:id="rId77"/>
        </w:object>
      </w:r>
      <w:r w:rsidR="003A0D92">
        <w:t xml:space="preserve">and </w:t>
      </w:r>
      <w:r w:rsidR="003A0D92" w:rsidRPr="0036060B">
        <w:rPr>
          <w:position w:val="-12"/>
        </w:rPr>
        <w:object w:dxaOrig="540" w:dyaOrig="360" w14:anchorId="6B22B552">
          <v:shape id="_x0000_i1062" type="#_x0000_t75" style="width:28.15pt;height:21.25pt" o:ole="">
            <v:imagedata r:id="rId78" o:title=""/>
          </v:shape>
          <o:OLEObject Type="Embed" ProgID="Equation.DSMT4" ShapeID="_x0000_i1062" DrawAspect="Content" ObjectID="_1547912790" r:id="rId79"/>
        </w:object>
      </w:r>
      <w:r w:rsidR="003A0D92">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63" type="#_x0000_t75" style="width:180.45pt;height:21.25pt" o:ole="">
            <v:imagedata r:id="rId80" o:title=""/>
          </v:shape>
          <o:OLEObject Type="Embed" ProgID="Equation.DSMT4" ShapeID="_x0000_i1063" DrawAspect="Content" ObjectID="_1547912791" r:id="rId81"/>
        </w:object>
      </w:r>
    </w:p>
    <w:p w14:paraId="365B7232" w14:textId="77777777" w:rsidR="003A0D92" w:rsidRDefault="003A0D92" w:rsidP="003A0D92">
      <w:pPr>
        <w:jc w:val="center"/>
      </w:pPr>
      <w:r w:rsidRPr="0036060B">
        <w:rPr>
          <w:position w:val="-12"/>
        </w:rPr>
        <w:object w:dxaOrig="3660" w:dyaOrig="380" w14:anchorId="7A310570">
          <v:shape id="_x0000_i1064" type="#_x0000_t75" style="width:180.45pt;height:21.25pt" o:ole="">
            <v:imagedata r:id="rId82" o:title=""/>
          </v:shape>
          <o:OLEObject Type="Embed" ProgID="Equation.DSMT4" ShapeID="_x0000_i1064" DrawAspect="Content" ObjectID="_1547912792" r:id="rId83"/>
        </w:object>
      </w:r>
    </w:p>
    <w:p w14:paraId="6D38C7EC" w14:textId="77777777" w:rsidR="003A0D92" w:rsidRPr="00975758" w:rsidRDefault="003A0D92" w:rsidP="003A0D92">
      <w:r>
        <w:t xml:space="preserve">where </w:t>
      </w:r>
      <w:r w:rsidRPr="0036060B">
        <w:rPr>
          <w:position w:val="-12"/>
        </w:rPr>
        <w:object w:dxaOrig="580" w:dyaOrig="380" w14:anchorId="45AA929F">
          <v:shape id="_x0000_i1065" type="#_x0000_t75" style="width:28.15pt;height:21.25pt" o:ole="">
            <v:imagedata r:id="rId84" o:title=""/>
          </v:shape>
          <o:OLEObject Type="Embed" ProgID="Equation.DSMT4" ShapeID="_x0000_i1065" DrawAspect="Content" ObjectID="_1547912793" r:id="rId85"/>
        </w:object>
      </w:r>
      <w:r>
        <w:t xml:space="preserve"> and </w:t>
      </w:r>
      <w:r w:rsidRPr="0036060B">
        <w:rPr>
          <w:position w:val="-12"/>
        </w:rPr>
        <w:object w:dxaOrig="580" w:dyaOrig="380" w14:anchorId="3BC7BE32">
          <v:shape id="_x0000_i1066" type="#_x0000_t75" style="width:28.15pt;height:21.25pt" o:ole="">
            <v:imagedata r:id="rId86" o:title=""/>
          </v:shape>
          <o:OLEObject Type="Embed" ProgID="Equation.DSMT4" ShapeID="_x0000_i1066" DrawAspect="Content" ObjectID="_1547912794" r:id="rId87"/>
        </w:object>
      </w:r>
      <w:r>
        <w:t xml:space="preserve"> are the channel from the first Tx antenna and the second Tx antenna respectively. </w:t>
      </w:r>
    </w:p>
    <w:p w14:paraId="365A87D2" w14:textId="49B4AE84" w:rsidR="003A0D92" w:rsidRDefault="003A0D92" w:rsidP="003A0D92">
      <w:r>
        <w:t xml:space="preserve">In frequency domain, the PUCCH tones are then multiplied with </w:t>
      </w:r>
      <w:r w:rsidRPr="00836E03">
        <w:rPr>
          <w:position w:val="-12"/>
        </w:rPr>
        <w:object w:dxaOrig="680" w:dyaOrig="380" w14:anchorId="78D8553C">
          <v:shape id="_x0000_i1067" type="#_x0000_t75" style="width:36.45pt;height:21.25pt" o:ole="">
            <v:imagedata r:id="rId88" o:title=""/>
          </v:shape>
          <o:OLEObject Type="Embed" ProgID="Equation.DSMT4" ShapeID="_x0000_i1067" DrawAspect="Content" ObjectID="_1547912795" r:id="rId89"/>
        </w:object>
      </w:r>
      <w:r>
        <w:t xml:space="preserve">and </w:t>
      </w:r>
      <w:r w:rsidRPr="00836E03">
        <w:rPr>
          <w:position w:val="-12"/>
        </w:rPr>
        <w:object w:dxaOrig="680" w:dyaOrig="380" w14:anchorId="1E4ACD2B">
          <v:shape id="_x0000_i1068" type="#_x0000_t75" style="width:36.45pt;height:21.25pt" o:ole="">
            <v:imagedata r:id="rId90" o:title=""/>
          </v:shape>
          <o:OLEObject Type="Embed" ProgID="Equation.DSMT4" ShapeID="_x0000_i1068" DrawAspect="Content" ObjectID="_1547912796" r:id="rId91"/>
        </w:object>
      </w:r>
      <w:r>
        <w:t xml:space="preserve">respectively, where </w:t>
      </w:r>
      <w:r w:rsidRPr="009F31B1">
        <w:rPr>
          <w:position w:val="-12"/>
        </w:rPr>
        <w:object w:dxaOrig="680" w:dyaOrig="380" w14:anchorId="36ADB387">
          <v:shape id="_x0000_i1069" type="#_x0000_t75" style="width:36.45pt;height:21.25pt" o:ole="">
            <v:imagedata r:id="rId92" o:title=""/>
          </v:shape>
          <o:OLEObject Type="Embed" ProgID="Equation.DSMT4" ShapeID="_x0000_i1069" DrawAspect="Content" ObjectID="_1547912797" r:id="rId93"/>
        </w:object>
      </w:r>
      <w:r>
        <w:t xml:space="preserve"> and </w:t>
      </w:r>
      <w:r w:rsidRPr="009F31B1">
        <w:rPr>
          <w:position w:val="-12"/>
        </w:rPr>
        <w:object w:dxaOrig="680" w:dyaOrig="380" w14:anchorId="40CD11C4">
          <v:shape id="_x0000_i1070" type="#_x0000_t75" style="width:36.45pt;height:21.25pt" o:ole="">
            <v:imagedata r:id="rId94" o:title=""/>
          </v:shape>
          <o:OLEObject Type="Embed" ProgID="Equation.DSMT4" ShapeID="_x0000_i1070" DrawAspect="Content" ObjectID="_1547912798" r:id="rId95"/>
        </w:object>
      </w:r>
      <w:r>
        <w:t xml:space="preserve"> are the channel from the first and second Tx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71" type="#_x0000_t75" style="width:63.7pt;height:21.25pt" o:ole="">
            <v:imagedata r:id="rId96" o:title=""/>
          </v:shape>
          <o:OLEObject Type="Embed" ProgID="Equation.DSMT4" ShapeID="_x0000_i1071" DrawAspect="Content" ObjectID="_1547912799" r:id="rId97"/>
        </w:object>
      </w:r>
      <w:r>
        <w:t xml:space="preserve"> and </w:t>
      </w:r>
      <w:r w:rsidRPr="002A3E3B">
        <w:rPr>
          <w:position w:val="-14"/>
        </w:rPr>
        <w:object w:dxaOrig="1380" w:dyaOrig="400" w14:anchorId="34F17415">
          <v:shape id="_x0000_i1072" type="#_x0000_t75" style="width:1in;height:21.25pt" o:ole="">
            <v:imagedata r:id="rId98" o:title=""/>
          </v:shape>
          <o:OLEObject Type="Embed" ProgID="Equation.DSMT4" ShapeID="_x0000_i1072" DrawAspect="Content" ObjectID="_1547912800" r:id="rId99"/>
        </w:object>
      </w:r>
      <w:r>
        <w:t xml:space="preserve"> where </w:t>
      </w:r>
      <w:r w:rsidRPr="002A3E3B">
        <w:rPr>
          <w:position w:val="-14"/>
        </w:rPr>
        <w:object w:dxaOrig="1340" w:dyaOrig="400" w14:anchorId="2DFF0BA4">
          <v:shape id="_x0000_i1073" type="#_x0000_t75" style="width:63.7pt;height:21.25pt" o:ole="">
            <v:imagedata r:id="rId100" o:title=""/>
          </v:shape>
          <o:OLEObject Type="Embed" ProgID="Equation.DSMT4" ShapeID="_x0000_i1073" DrawAspect="Content" ObjectID="_1547912801" r:id="rId101"/>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74" type="#_x0000_t75" style="width:1in;height:21.25pt" o:ole="">
            <v:imagedata r:id="rId102" o:title=""/>
          </v:shape>
          <o:OLEObject Type="Embed" ProgID="Equation.DSMT4" ShapeID="_x0000_i1074" DrawAspect="Content" ObjectID="_1547912802" r:id="rId103"/>
        </w:object>
      </w:r>
      <w:r>
        <w:t>are concatenated in time domain as well.</w:t>
      </w:r>
    </w:p>
    <w:p w14:paraId="4A194A19" w14:textId="77777777" w:rsidR="003A0D92" w:rsidRDefault="003A0D92" w:rsidP="003A0D92">
      <w:r>
        <w:t xml:space="preserve">Given the IDFT properties that </w:t>
      </w:r>
      <w:r w:rsidRPr="00836E03">
        <w:rPr>
          <w:position w:val="-12"/>
        </w:rPr>
        <w:object w:dxaOrig="1740" w:dyaOrig="499" w14:anchorId="236774DD">
          <v:shape id="_x0000_i1075" type="#_x0000_t75" style="width:87.25pt;height:21.25pt" o:ole="">
            <v:imagedata r:id="rId104" o:title=""/>
          </v:shape>
          <o:OLEObject Type="Embed" ProgID="Equation.DSMT4" ShapeID="_x0000_i1075" DrawAspect="Content" ObjectID="_1547912803" r:id="rId105"/>
        </w:object>
      </w:r>
      <w:r>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76" type="#_x0000_t75" style="width:108.45pt;height:21.25pt" o:ole="">
            <v:imagedata r:id="rId106" o:title=""/>
          </v:shape>
          <o:OLEObject Type="Embed" ProgID="Equation.DSMT4" ShapeID="_x0000_i1076" DrawAspect="Content" ObjectID="_1547912804" r:id="rId107"/>
        </w:object>
      </w:r>
    </w:p>
    <w:p w14:paraId="7441F88D" w14:textId="77777777" w:rsidR="003A0D92" w:rsidRDefault="003A0D92" w:rsidP="003A0D92">
      <w:pPr>
        <w:jc w:val="center"/>
      </w:pPr>
      <w:r w:rsidRPr="00975758">
        <w:rPr>
          <w:position w:val="-12"/>
        </w:rPr>
        <w:object w:dxaOrig="2240" w:dyaOrig="380" w14:anchorId="041A0454">
          <v:shape id="_x0000_i1077" type="#_x0000_t75" style="width:115.85pt;height:21.25pt" o:ole="">
            <v:imagedata r:id="rId108" o:title=""/>
          </v:shape>
          <o:OLEObject Type="Embed" ProgID="Equation.DSMT4" ShapeID="_x0000_i1077" DrawAspect="Content" ObjectID="_1547912805" r:id="rId109"/>
        </w:object>
      </w:r>
    </w:p>
    <w:p w14:paraId="21E941BF" w14:textId="77777777" w:rsidR="003A0D92" w:rsidRDefault="003A0D92" w:rsidP="003A0D92">
      <w:pPr>
        <w:jc w:val="center"/>
      </w:pPr>
      <w:r w:rsidRPr="002A3E3B">
        <w:rPr>
          <w:position w:val="-12"/>
        </w:rPr>
        <w:object w:dxaOrig="2240" w:dyaOrig="380" w14:anchorId="7524CED9">
          <v:shape id="_x0000_i1078" type="#_x0000_t75" style="width:115.85pt;height:21.25pt" o:ole="">
            <v:imagedata r:id="rId110" o:title=""/>
          </v:shape>
          <o:OLEObject Type="Embed" ProgID="Equation.DSMT4" ShapeID="_x0000_i1078" DrawAspect="Content" ObjectID="_1547912806" r:id="rId111"/>
        </w:object>
      </w:r>
    </w:p>
    <w:p w14:paraId="0C8BEE11" w14:textId="77777777" w:rsidR="003A0D92" w:rsidRDefault="003A0D92" w:rsidP="003A0D92">
      <w:pPr>
        <w:jc w:val="center"/>
      </w:pPr>
      <w:r w:rsidRPr="002A3E3B">
        <w:rPr>
          <w:position w:val="-12"/>
        </w:rPr>
        <w:object w:dxaOrig="2260" w:dyaOrig="380" w14:anchorId="20204DD9">
          <v:shape id="_x0000_i1079" type="#_x0000_t75" style="width:114.9pt;height:21.25pt" o:ole="">
            <v:imagedata r:id="rId112" o:title=""/>
          </v:shape>
          <o:OLEObject Type="Embed" ProgID="Equation.DSMT4" ShapeID="_x0000_i1079" DrawAspect="Content" ObjectID="_1547912807" r:id="rId113"/>
        </w:object>
      </w:r>
    </w:p>
    <w:p w14:paraId="6F38C60F" w14:textId="77777777" w:rsidR="003A0D92" w:rsidRDefault="003A0D92" w:rsidP="003A0D92">
      <w:r>
        <w:t>The de-Alamouti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80" type="#_x0000_t75" style="width:100.15pt;height:21.25pt" o:ole="">
            <v:imagedata r:id="rId114" o:title=""/>
          </v:shape>
          <o:OLEObject Type="Embed" ProgID="Equation.DSMT4" ShapeID="_x0000_i1080" DrawAspect="Content" ObjectID="_1547912808" r:id="rId115"/>
        </w:object>
      </w:r>
      <w:r>
        <w:t>,</w:t>
      </w:r>
    </w:p>
    <w:p w14:paraId="284D0E20" w14:textId="77777777" w:rsidR="003A0D92" w:rsidRDefault="003A0D92" w:rsidP="003A0D92">
      <w:pPr>
        <w:jc w:val="center"/>
      </w:pPr>
      <w:r w:rsidRPr="00502788">
        <w:rPr>
          <w:position w:val="-12"/>
        </w:rPr>
        <w:object w:dxaOrig="2060" w:dyaOrig="360" w14:anchorId="3AC2BF0E">
          <v:shape id="_x0000_i1081" type="#_x0000_t75" style="width:100.15pt;height:21.25pt" o:ole="">
            <v:imagedata r:id="rId116" o:title=""/>
          </v:shape>
          <o:OLEObject Type="Embed" ProgID="Equation.DSMT4" ShapeID="_x0000_i1081" DrawAspect="Content" ObjectID="_1547912809" r:id="rId117"/>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82" type="#_x0000_t75" style="width:481.85pt;height:87.25pt" o:ole="">
            <v:imagedata r:id="rId118" o:title=""/>
          </v:shape>
          <o:OLEObject Type="Embed" ProgID="Equation.DSMT4" ShapeID="_x0000_i1082" DrawAspect="Content" ObjectID="_1547912810" r:id="rId119"/>
        </w:object>
      </w:r>
    </w:p>
    <w:p w14:paraId="61B259FA" w14:textId="08F8549D" w:rsidR="003A0D92" w:rsidRDefault="003A0D92" w:rsidP="003A0D92">
      <w:r w:rsidRPr="006956FE">
        <w:rPr>
          <w:position w:val="-82"/>
        </w:rPr>
        <w:object w:dxaOrig="9480" w:dyaOrig="1760" w14:anchorId="11B77F4F">
          <v:shape id="_x0000_i1083" type="#_x0000_t75" style="width:475.4pt;height:87.25pt" o:ole="">
            <v:imagedata r:id="rId120" o:title=""/>
          </v:shape>
          <o:OLEObject Type="Embed" ProgID="Equation.DSMT4" ShapeID="_x0000_i1083" DrawAspect="Content" ObjectID="_1547912811" r:id="rId121"/>
        </w:object>
      </w:r>
    </w:p>
    <w:p w14:paraId="55516FBC" w14:textId="6EC725DB" w:rsidR="00573573" w:rsidRDefault="00573573" w:rsidP="003A0D92">
      <w:r>
        <w:t>It is clear to see that full transmit diversity can be achieved with STBC with split half-symbols.</w:t>
      </w:r>
    </w:p>
    <w:p w14:paraId="687C5928" w14:textId="1B7F537F" w:rsidR="00B7388C" w:rsidRDefault="00B7388C" w:rsidP="00B7388C">
      <w:pPr>
        <w:pStyle w:val="Heading2"/>
      </w:pPr>
      <w:bookmarkStart w:id="29" w:name="_Ref473822690"/>
      <w:r>
        <w:t>Comparison between virtual split based STBC before DFT and PAPR preserving SC-SFBC</w:t>
      </w:r>
      <w:bookmarkEnd w:id="29"/>
      <w:r>
        <w:t xml:space="preserve"> </w:t>
      </w:r>
    </w:p>
    <w:p w14:paraId="6DA4E91B" w14:textId="77777777" w:rsidR="00186245" w:rsidRDefault="00186245" w:rsidP="00186245">
      <w:pPr>
        <w:keepNext/>
      </w:pPr>
      <w:r>
        <w:rPr>
          <w:noProof/>
          <w:lang w:eastAsia="zh-CN"/>
        </w:rPr>
        <w:drawing>
          <wp:inline distT="0" distB="0" distL="0" distR="0" wp14:anchorId="1181770A" wp14:editId="2EC062DF">
            <wp:extent cx="6078471" cy="1364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6093264" cy="1368098"/>
                    </a:xfrm>
                    <a:prstGeom prst="rect">
                      <a:avLst/>
                    </a:prstGeom>
                    <a:noFill/>
                  </pic:spPr>
                </pic:pic>
              </a:graphicData>
            </a:graphic>
          </wp:inline>
        </w:drawing>
      </w:r>
    </w:p>
    <w:p w14:paraId="6A8F9343" w14:textId="77777777" w:rsidR="00186245" w:rsidRDefault="00186245" w:rsidP="00186245">
      <w:pPr>
        <w:pStyle w:val="Caption"/>
        <w:jc w:val="center"/>
        <w:rPr>
          <w:lang w:val="en-GB"/>
        </w:rPr>
      </w:pPr>
      <w:bookmarkStart w:id="30" w:name="_Ref474145108"/>
      <w:r>
        <w:t xml:space="preserve">Figure </w:t>
      </w:r>
      <w:r w:rsidR="00F05407">
        <w:fldChar w:fldCharType="begin"/>
      </w:r>
      <w:r w:rsidR="00F05407">
        <w:instrText xml:space="preserve"> SEQ Figure \* ARABIC </w:instrText>
      </w:r>
      <w:r w:rsidR="00F05407">
        <w:fldChar w:fldCharType="separate"/>
      </w:r>
      <w:r>
        <w:rPr>
          <w:noProof/>
        </w:rPr>
        <w:t>7</w:t>
      </w:r>
      <w:r w:rsidR="00F05407">
        <w:rPr>
          <w:noProof/>
        </w:rPr>
        <w:fldChar w:fldCharType="end"/>
      </w:r>
      <w:bookmarkEnd w:id="30"/>
      <w:r>
        <w:t>: virtual split based STBC before DFT with 8 tones</w:t>
      </w:r>
    </w:p>
    <w:p w14:paraId="21116542" w14:textId="77777777" w:rsidR="00186245" w:rsidRDefault="00186245" w:rsidP="00186245">
      <w:pPr>
        <w:keepNext/>
      </w:pPr>
      <w:r>
        <w:rPr>
          <w:noProof/>
          <w:lang w:eastAsia="zh-CN"/>
        </w:rPr>
        <w:lastRenderedPageBreak/>
        <w:drawing>
          <wp:inline distT="0" distB="0" distL="0" distR="0" wp14:anchorId="259DCD3F" wp14:editId="31D7A143">
            <wp:extent cx="6123708" cy="14261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6139078" cy="1429771"/>
                    </a:xfrm>
                    <a:prstGeom prst="rect">
                      <a:avLst/>
                    </a:prstGeom>
                    <a:noFill/>
                  </pic:spPr>
                </pic:pic>
              </a:graphicData>
            </a:graphic>
          </wp:inline>
        </w:drawing>
      </w:r>
    </w:p>
    <w:p w14:paraId="33664861" w14:textId="77777777" w:rsidR="00186245" w:rsidRDefault="00186245" w:rsidP="00186245">
      <w:pPr>
        <w:pStyle w:val="Caption"/>
        <w:jc w:val="center"/>
        <w:rPr>
          <w:lang w:val="en-GB"/>
        </w:rPr>
      </w:pPr>
      <w:bookmarkStart w:id="31" w:name="_Ref474145107"/>
      <w:r>
        <w:t xml:space="preserve">Figure </w:t>
      </w:r>
      <w:r w:rsidR="00F05407">
        <w:fldChar w:fldCharType="begin"/>
      </w:r>
      <w:r w:rsidR="00F05407">
        <w:instrText xml:space="preserve"> SEQ Figure \* ARABIC </w:instrText>
      </w:r>
      <w:r w:rsidR="00F05407">
        <w:fldChar w:fldCharType="separate"/>
      </w:r>
      <w:r>
        <w:rPr>
          <w:noProof/>
        </w:rPr>
        <w:t>8</w:t>
      </w:r>
      <w:r w:rsidR="00F05407">
        <w:rPr>
          <w:noProof/>
        </w:rPr>
        <w:fldChar w:fldCharType="end"/>
      </w:r>
      <w:bookmarkEnd w:id="31"/>
      <w:r>
        <w:t xml:space="preserve">: PAPR preserving SC-SFBC </w:t>
      </w:r>
      <w:r>
        <w:fldChar w:fldCharType="begin"/>
      </w:r>
      <w:r>
        <w:instrText xml:space="preserve"> REF _Ref473822461 \r \h </w:instrText>
      </w:r>
      <w:r>
        <w:fldChar w:fldCharType="separate"/>
      </w:r>
      <w:r>
        <w:t>[3]</w:t>
      </w:r>
      <w:r>
        <w:fldChar w:fldCharType="end"/>
      </w:r>
      <w:r>
        <w:t xml:space="preserve"> with 8 tones</w:t>
      </w:r>
    </w:p>
    <w:p w14:paraId="75F37BF0" w14:textId="77777777" w:rsidR="00186245" w:rsidRPr="00D06ACC" w:rsidRDefault="00186245" w:rsidP="00186245">
      <w:pPr>
        <w:rPr>
          <w:lang w:val="en-GB"/>
        </w:rPr>
      </w:pP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Pr="00D06ACC">
        <w:t xml:space="preserve">Figure </w:t>
      </w:r>
      <w:r w:rsidRPr="00D06ACC">
        <w:rPr>
          <w:noProof/>
        </w:rPr>
        <w:t>7</w:t>
      </w:r>
      <w:r w:rsidRPr="00D06ACC">
        <w:rPr>
          <w:lang w:val="en-GB"/>
        </w:rPr>
        <w:fldChar w:fldCharType="end"/>
      </w:r>
      <w:r w:rsidRPr="00D06ACC">
        <w:rPr>
          <w:lang w:val="en-GB"/>
        </w:rPr>
        <w:t xml:space="preserve"> shows a transmitter diagram for virtual split based STBC before DFT which is proposed in this contribution when 8 tones are used.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Pr="00D06ACC">
        <w:t xml:space="preserve">Figure </w:t>
      </w:r>
      <w:r w:rsidRPr="00D06ACC">
        <w:rPr>
          <w:noProof/>
        </w:rPr>
        <w:t>8</w:t>
      </w:r>
      <w:r w:rsidRPr="00D06ACC">
        <w:rPr>
          <w:lang w:val="en-GB"/>
        </w:rPr>
        <w:fldChar w:fldCharType="end"/>
      </w:r>
      <w:r w:rsidRPr="00D06ACC">
        <w:rPr>
          <w:lang w:val="en-GB"/>
        </w:rPr>
        <w:t xml:space="preserve"> shows a transmitter diagram for PAPR preserving SC-SFBC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Pr="00D06ACC">
        <w:rPr>
          <w:lang w:val="en-GB"/>
        </w:rPr>
        <w:t>[3]</w:t>
      </w:r>
      <w:r w:rsidRPr="00D06ACC">
        <w:rPr>
          <w:lang w:val="en-GB"/>
        </w:rPr>
        <w:fldChar w:fldCharType="end"/>
      </w:r>
      <w:r w:rsidRPr="00D06ACC">
        <w:rPr>
          <w:lang w:val="en-GB"/>
        </w:rPr>
        <w:t xml:space="preserve"> when 8 tones are used. </w:t>
      </w:r>
    </w:p>
    <w:p w14:paraId="18E6AA10" w14:textId="77777777" w:rsidR="00186245" w:rsidRPr="00D06ACC" w:rsidRDefault="00186245" w:rsidP="00186245">
      <w:pPr>
        <w:rPr>
          <w:lang w:val="en-GB"/>
        </w:rPr>
      </w:pPr>
      <w:r w:rsidRPr="00D06ACC">
        <w:rPr>
          <w:lang w:val="en-GB"/>
        </w:rPr>
        <w:t xml:space="preserve">As we explained above, in the virtual split based STBC of </w:t>
      </w: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Pr="00D06ACC">
        <w:t xml:space="preserve">Figure </w:t>
      </w:r>
      <w:r w:rsidRPr="00D06ACC">
        <w:rPr>
          <w:noProof/>
        </w:rPr>
        <w:t>7</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split into two subsequences with length 4, and Alamouti coding is introduced to two split sequences. Here, we can notice the following two:</w:t>
      </w:r>
    </w:p>
    <w:p w14:paraId="6416F5A9"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Descending time indexing for the second antenna transmission</w:t>
      </w:r>
    </w:p>
    <w:p w14:paraId="5FDB4A0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Discontinuous phase for the second antenna transmission</w:t>
      </w:r>
    </w:p>
    <w:p w14:paraId="7AB3F57C" w14:textId="77777777" w:rsidR="00186245" w:rsidRPr="00D06ACC" w:rsidRDefault="00186245" w:rsidP="00186245">
      <w:pPr>
        <w:pStyle w:val="ListParagraph"/>
        <w:rPr>
          <w:rFonts w:ascii="Times New Roman" w:hAnsi="Times New Roman"/>
          <w:sz w:val="20"/>
          <w:szCs w:val="20"/>
          <w:lang w:val="en-GB"/>
        </w:rPr>
      </w:pPr>
    </w:p>
    <w:p w14:paraId="64DD9B6B" w14:textId="77777777"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first half of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rPr>
        <w:t xml:space="preserve">Figure </w:t>
      </w:r>
      <w:r w:rsidRPr="00D06ACC">
        <w:rPr>
          <w:rFonts w:ascii="Times New Roman" w:hAnsi="Times New Roman"/>
          <w:noProof/>
          <w:sz w:val="20"/>
          <w:szCs w:val="20"/>
        </w:rPr>
        <w:t>7</w:t>
      </w:r>
      <w:r w:rsidRPr="00D06ACC">
        <w:rPr>
          <w:rFonts w:ascii="Times New Roman" w:hAnsi="Times New Roman"/>
          <w:sz w:val="20"/>
          <w:szCs w:val="20"/>
          <w:lang w:val="en-GB"/>
        </w:rPr>
        <w:fldChar w:fldCharType="end"/>
      </w:r>
      <w:r w:rsidRPr="00D06ACC">
        <w:rPr>
          <w:rFonts w:ascii="Times New Roman" w:hAnsi="Times New Roman"/>
          <w:sz w:val="20"/>
          <w:szCs w:val="20"/>
          <w:lang w:val="en-GB"/>
        </w:rPr>
        <w:t>,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4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7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6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5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 xml:space="preserve">), is (4,7,6,5), which can be thought as a cyclic shift of (7,6,5,4). Likewise, the time indices for the second half can be thought as a cyclic shift of (3,2,1,0). Therefore, we can notice that time indexing for the second antenna in virtual split based STBC is decreasing. Due to this descending time indexing, the proposed scheme result in wideband Alamouti coding in frequency domain as discussed in Section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_Ref474146951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24A03E00" w14:textId="77777777"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Furthermore, the signs for the second antenna’s sequence is given as (</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,-1,-1,-1,-1) which can be thought as the following phase rotation on each elements, (</w:t>
      </w:r>
      <m:oMath>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 xml:space="preserve">). Therefore, we can notice a discontinuous phase rotation between the first and the second half of the sequence. Due to this discontinuity, the tone-wise Alamouti coding shown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_Ref473822461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lang w:val="en-GB"/>
        </w:rPr>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not achievable in virtual split STBC of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rPr>
        <w:t xml:space="preserve">Figure </w:t>
      </w:r>
      <w:r w:rsidRPr="00D06ACC">
        <w:rPr>
          <w:rFonts w:ascii="Times New Roman" w:hAnsi="Times New Roman"/>
          <w:noProof/>
          <w:sz w:val="20"/>
          <w:szCs w:val="20"/>
        </w:rPr>
        <w:t>7</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32774F95" w14:textId="77777777" w:rsidR="00186245" w:rsidRPr="00D06ACC" w:rsidRDefault="00186245" w:rsidP="00186245">
      <w:pPr>
        <w:pStyle w:val="ListParagraph"/>
        <w:ind w:left="0"/>
        <w:rPr>
          <w:rFonts w:ascii="Times New Roman" w:hAnsi="Times New Roman"/>
          <w:sz w:val="20"/>
          <w:szCs w:val="20"/>
          <w:lang w:val="en-GB"/>
        </w:rPr>
      </w:pPr>
    </w:p>
    <w:p w14:paraId="2634C8D8" w14:textId="77777777" w:rsidR="00186245" w:rsidRPr="00D06ACC" w:rsidRDefault="00186245" w:rsidP="00186245">
      <w:pPr>
        <w:rPr>
          <w:lang w:val="en-GB"/>
        </w:rPr>
      </w:pPr>
      <w:r w:rsidRPr="00D06ACC">
        <w:rPr>
          <w:lang w:val="en-GB"/>
        </w:rPr>
        <w:t xml:space="preserve">In PAPR preserving SC-SFBC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Pr="00D06ACC">
        <w:t xml:space="preserve">Figure </w:t>
      </w:r>
      <w:r w:rsidRPr="00D06ACC">
        <w:rPr>
          <w:noProof/>
        </w:rPr>
        <w:t>8</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cyclic shifted by 4. From the second antenna’s sequence in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Pr="00D06ACC">
        <w:t xml:space="preserve">Figure </w:t>
      </w:r>
      <w:r w:rsidRPr="00D06ACC">
        <w:rPr>
          <w:noProof/>
        </w:rPr>
        <w:t>8</w:t>
      </w:r>
      <w:r w:rsidRPr="00D06ACC">
        <w:rPr>
          <w:lang w:val="en-GB"/>
        </w:rPr>
        <w:fldChar w:fldCharType="end"/>
      </w:r>
      <w:r w:rsidRPr="00D06ACC">
        <w:rPr>
          <w:lang w:val="en-GB"/>
        </w:rPr>
        <w:t>, we can notice that the second antenna’s transmitted waveform is also DFT-s-OFDM. We can further notice the following two:</w:t>
      </w:r>
    </w:p>
    <w:p w14:paraId="5209C56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Ascending time indexing for the second antenna transmission</w:t>
      </w:r>
    </w:p>
    <w:p w14:paraId="5BE716CC"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Continuous phase for the second antenna transmission</w:t>
      </w:r>
    </w:p>
    <w:p w14:paraId="4B627F27" w14:textId="77777777" w:rsidR="00186245" w:rsidRPr="00D06ACC" w:rsidRDefault="00186245" w:rsidP="00186245">
      <w:pPr>
        <w:rPr>
          <w:lang w:val="en-GB"/>
        </w:rPr>
      </w:pPr>
    </w:p>
    <w:p w14:paraId="1CB4DC5A" w14:textId="77777777"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rPr>
        <w:t xml:space="preserve">Figure </w:t>
      </w:r>
      <w:r w:rsidRPr="00D06ACC">
        <w:rPr>
          <w:rFonts w:ascii="Times New Roman" w:hAnsi="Times New Roman"/>
          <w:noProof/>
          <w:sz w:val="20"/>
          <w:szCs w:val="20"/>
        </w:rPr>
        <w:t>8</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(4,5,6,7,0,1,2,3), which can be thought as (0,1,2,3,4,5,6,7) with a cyclic shift of 4. Therefore, we can notice that time indexing for the second antenna in PAPR preserving SFBC is increasing. It is known that frequency domain conjugate corresponds to time domain conjugate with reversed index. Due to this ascending time indexing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rPr>
        <w:t xml:space="preserve">Figure </w:t>
      </w:r>
      <w:r w:rsidRPr="00D06ACC">
        <w:rPr>
          <w:rFonts w:ascii="Times New Roman" w:hAnsi="Times New Roman"/>
          <w:noProof/>
          <w:sz w:val="20"/>
          <w:szCs w:val="20"/>
        </w:rPr>
        <w:t>8</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the PAPR preserving SFBC scheme does not result in wideband Alamouti coding in frequency domain shown in Section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_Ref474146951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617632B9" w14:textId="77777777" w:rsidR="00186245" w:rsidRPr="00D06ACC" w:rsidRDefault="00186245" w:rsidP="00186245">
      <w:pPr>
        <w:rPr>
          <w:lang w:val="en-GB"/>
        </w:rPr>
      </w:pPr>
      <w:r w:rsidRPr="00D06ACC">
        <w:rPr>
          <w:lang w:val="en-GB"/>
        </w:rPr>
        <w:t xml:space="preserve">Furthermore, the phase for the second antenna’s sequence is given as </w:t>
      </w:r>
    </w:p>
    <w:p w14:paraId="0E84CEBC"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oMath>
      <w:r w:rsidRPr="00D06ACC">
        <w:rPr>
          <w:lang w:val="en-GB"/>
        </w:rPr>
        <w:t>)</w:t>
      </w:r>
    </w:p>
    <w:p w14:paraId="17FBA883" w14:textId="77777777" w:rsidR="00186245" w:rsidRPr="00D06ACC" w:rsidRDefault="00186245" w:rsidP="00186245">
      <w:pPr>
        <w:rPr>
          <w:lang w:val="en-GB"/>
        </w:rPr>
      </w:pPr>
      <w:r w:rsidRPr="00D06ACC">
        <w:rPr>
          <w:lang w:val="en-GB"/>
        </w:rPr>
        <w:t xml:space="preserve">which can be thought as the following phase rotation on each elements: </w:t>
      </w:r>
    </w:p>
    <w:p w14:paraId="2C7C757E"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24/8 π</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30/8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42/8 π</m:t>
            </m:r>
          </m:sup>
        </m:sSup>
      </m:oMath>
      <w:r w:rsidRPr="00D06ACC">
        <w:rPr>
          <w:lang w:val="en-GB"/>
        </w:rPr>
        <w:t>).</w:t>
      </w:r>
    </w:p>
    <w:p w14:paraId="3DB43CB0" w14:textId="77777777" w:rsidR="00186245" w:rsidRPr="00D06ACC" w:rsidRDefault="00186245" w:rsidP="00186245">
      <w:pPr>
        <w:rPr>
          <w:lang w:val="en-GB"/>
        </w:rPr>
      </w:pPr>
      <w:r w:rsidRPr="00D06ACC">
        <w:rPr>
          <w:lang w:val="en-GB"/>
        </w:rPr>
        <w:t xml:space="preserve">Therefore, we can notice a continuously increasing phase rotation by </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oMath>
      <w:r w:rsidRPr="00D06ACC">
        <w:rPr>
          <w:lang w:val="en-GB"/>
        </w:rPr>
        <w:t xml:space="preserve"> for each element in the second antenna’s sequence. Thanks to this continuous phase rotation, the tone-wise Alamouti coding shown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Pr="00D06ACC">
        <w:rPr>
          <w:lang w:val="en-GB"/>
        </w:rPr>
        <w:t>[3]</w:t>
      </w:r>
      <w:r w:rsidRPr="00D06ACC">
        <w:rPr>
          <w:lang w:val="en-GB"/>
        </w:rPr>
        <w:fldChar w:fldCharType="end"/>
      </w:r>
      <w:r w:rsidRPr="00D06ACC">
        <w:rPr>
          <w:lang w:val="en-GB"/>
        </w:rPr>
        <w:t xml:space="preserve"> can be achievable in PAPR preserving 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Pr="00D06ACC">
        <w:t xml:space="preserve">Figure </w:t>
      </w:r>
      <w:r w:rsidRPr="00D06ACC">
        <w:rPr>
          <w:noProof/>
        </w:rPr>
        <w:t>8</w:t>
      </w:r>
      <w:r w:rsidRPr="00D06ACC">
        <w:rPr>
          <w:lang w:val="en-GB"/>
        </w:rPr>
        <w:fldChar w:fldCharType="end"/>
      </w:r>
      <w:r w:rsidRPr="00D06ACC">
        <w:rPr>
          <w:lang w:val="en-GB"/>
        </w:rPr>
        <w:t>.</w:t>
      </w:r>
    </w:p>
    <w:p w14:paraId="215F48B4" w14:textId="0DFF1B9E" w:rsidR="003A0D92" w:rsidRPr="00802EB0" w:rsidRDefault="00186245" w:rsidP="00802EB0">
      <w:pPr>
        <w:pStyle w:val="ListParagraph"/>
        <w:ind w:left="0"/>
        <w:rPr>
          <w:rFonts w:ascii="Times New Roman" w:hAnsi="Times New Roman"/>
          <w:sz w:val="20"/>
          <w:szCs w:val="20"/>
          <w:lang w:val="en-GB"/>
        </w:rPr>
      </w:pPr>
      <w:r w:rsidRPr="00D06ACC">
        <w:rPr>
          <w:rFonts w:ascii="Times New Roman" w:hAnsi="Times New Roman"/>
          <w:sz w:val="20"/>
          <w:szCs w:val="20"/>
          <w:lang w:val="en-GB"/>
        </w:rPr>
        <w:lastRenderedPageBreak/>
        <w:t xml:space="preserve">In sum, even though both schemes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rPr>
        <w:t xml:space="preserve">Figure </w:t>
      </w:r>
      <w:r w:rsidRPr="00D06ACC">
        <w:rPr>
          <w:rFonts w:ascii="Times New Roman" w:hAnsi="Times New Roman"/>
          <w:noProof/>
          <w:sz w:val="20"/>
          <w:szCs w:val="20"/>
        </w:rPr>
        <w:t>7</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and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Pr="00D06ACC">
        <w:rPr>
          <w:rFonts w:ascii="Times New Roman" w:hAnsi="Times New Roman"/>
          <w:sz w:val="20"/>
          <w:szCs w:val="20"/>
        </w:rPr>
        <w:t xml:space="preserve">Figure </w:t>
      </w:r>
      <w:r w:rsidRPr="00D06ACC">
        <w:rPr>
          <w:rFonts w:ascii="Times New Roman" w:hAnsi="Times New Roman"/>
          <w:noProof/>
          <w:sz w:val="20"/>
          <w:szCs w:val="20"/>
        </w:rPr>
        <w:t>8</w:t>
      </w:r>
      <w:r w:rsidRPr="00D06ACC">
        <w:rPr>
          <w:rFonts w:ascii="Times New Roman" w:hAnsi="Times New Roman"/>
          <w:sz w:val="20"/>
          <w:szCs w:val="20"/>
          <w:lang w:val="en-GB"/>
        </w:rPr>
        <w:fldChar w:fldCharType="end"/>
      </w:r>
      <w:r>
        <w:rPr>
          <w:rFonts w:ascii="Times New Roman" w:hAnsi="Times New Roman"/>
          <w:sz w:val="20"/>
          <w:szCs w:val="20"/>
          <w:lang w:val="en-GB"/>
        </w:rPr>
        <w:t xml:space="preserve"> provides Alamouti coding with DFT-s-OFDM waveforms, their frequency domain properties are fundamentally different due to distinct arrangement and phase-rotation of the second antenna’s sequence.</w:t>
      </w:r>
    </w:p>
    <w:p w14:paraId="64099BEB" w14:textId="510C3659" w:rsidR="002F77EB" w:rsidRPr="00AF745C" w:rsidRDefault="00E523F3" w:rsidP="00AF745C">
      <w:pPr>
        <w:pStyle w:val="Heading1"/>
        <w:rPr>
          <w:lang w:val="en-US"/>
        </w:rPr>
      </w:pPr>
      <w:r w:rsidRPr="000A64D8">
        <w:rPr>
          <w:lang w:val="en-US"/>
        </w:rPr>
        <w:t>References</w:t>
      </w:r>
      <w:bookmarkStart w:id="32" w:name="_Ref457730460"/>
      <w:bookmarkStart w:id="33" w:name="_Ref450735844"/>
      <w:bookmarkStart w:id="34" w:name="_Ref450342757"/>
    </w:p>
    <w:p w14:paraId="29EF7243" w14:textId="77777777" w:rsidR="00F62947" w:rsidRDefault="00F62947" w:rsidP="00F62947">
      <w:pPr>
        <w:pStyle w:val="ListParagraph"/>
        <w:numPr>
          <w:ilvl w:val="0"/>
          <w:numId w:val="2"/>
        </w:numPr>
        <w:jc w:val="both"/>
        <w:rPr>
          <w:rFonts w:ascii="Times New Roman" w:eastAsia="SimSun" w:hAnsi="Times New Roman"/>
          <w:sz w:val="20"/>
        </w:rPr>
      </w:pPr>
      <w:bookmarkStart w:id="35" w:name="_Ref461383190"/>
      <w:bookmarkStart w:id="36" w:name="_Ref465692186"/>
      <w:r>
        <w:rPr>
          <w:rFonts w:ascii="Times New Roman" w:eastAsia="SimSun" w:hAnsi="Times New Roman"/>
          <w:sz w:val="20"/>
        </w:rPr>
        <w:t>3GPP RAN1 86bis “Chairman’s Notes RAN1_86bis - final”, Lisbon, Portugal, Oct 2016.</w:t>
      </w:r>
      <w:bookmarkEnd w:id="35"/>
    </w:p>
    <w:p w14:paraId="61FF4782" w14:textId="77777777" w:rsidR="00F62947" w:rsidRDefault="00F62947" w:rsidP="00F62947">
      <w:pPr>
        <w:pStyle w:val="ListParagraph"/>
        <w:numPr>
          <w:ilvl w:val="0"/>
          <w:numId w:val="2"/>
        </w:numPr>
        <w:jc w:val="both"/>
        <w:rPr>
          <w:rFonts w:ascii="Times New Roman" w:eastAsia="SimSun" w:hAnsi="Times New Roman"/>
          <w:sz w:val="20"/>
        </w:rPr>
      </w:pPr>
      <w:bookmarkStart w:id="37" w:name="_Ref465692996"/>
      <w:r w:rsidRPr="00E7719B">
        <w:rPr>
          <w:rFonts w:ascii="Times New Roman" w:eastAsia="SimSun" w:hAnsi="Times New Roman"/>
          <w:sz w:val="20"/>
        </w:rPr>
        <w:t xml:space="preserve">3GPP </w:t>
      </w:r>
      <w:hyperlink r:id="rId124" w:history="1">
        <w:r w:rsidRPr="00E7719B">
          <w:rPr>
            <w:rFonts w:ascii="Times New Roman" w:eastAsia="SimSun" w:hAnsi="Times New Roman"/>
            <w:sz w:val="20"/>
          </w:rPr>
          <w:t>R1-1610485</w:t>
        </w:r>
      </w:hyperlink>
      <w:r>
        <w:rPr>
          <w:rFonts w:ascii="Times New Roman" w:eastAsia="SimSun" w:hAnsi="Times New Roman"/>
          <w:sz w:val="20"/>
        </w:rPr>
        <w:t>, “</w:t>
      </w:r>
      <w:r w:rsidRPr="00E7719B">
        <w:rPr>
          <w:rFonts w:ascii="Times New Roman" w:eastAsia="SimSun" w:hAnsi="Times New Roman"/>
          <w:sz w:val="20"/>
        </w:rPr>
        <w:t>WF on Waveform for NR Uplink,</w:t>
      </w:r>
      <w:r>
        <w:rPr>
          <w:rFonts w:ascii="Times New Roman" w:eastAsia="SimSun" w:hAnsi="Times New Roman"/>
          <w:sz w:val="20"/>
        </w:rPr>
        <w:t xml:space="preserve">” </w:t>
      </w:r>
      <w:r w:rsidRPr="00E7719B">
        <w:rPr>
          <w:rFonts w:ascii="Times New Roman" w:eastAsia="SimSun" w:hAnsi="Times New Roman"/>
          <w:sz w:val="20"/>
        </w:rPr>
        <w:t>Qualcomm, Orange, OPPO, ZTE, ZTE Microelectronics, InterDigital, MediaTek, LGE, IITH, Idaho National Lab, Mitsubishi, Panasonic, Vivo, Tejas Networks, IITM, CEWIT, Straight Path, NTU, Kyocera, Samsung, Spreadtrum, Reliance-jio, Sharp, AT&amp;T, Xiaomi, Sony, NEC, Motorola, Lenovo, National Instrument, Apple</w:t>
      </w:r>
      <w:r>
        <w:rPr>
          <w:rFonts w:ascii="Times New Roman" w:eastAsia="SimSun" w:hAnsi="Times New Roman"/>
          <w:sz w:val="20"/>
        </w:rPr>
        <w:t>, Lisbon, Portugal, Oct 2016.</w:t>
      </w:r>
      <w:bookmarkEnd w:id="37"/>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38" w:name="_Ref473822461"/>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DFTsOFDM,” Mitsubishi Electric, Spokane, Washington, January 16-20th 2017</w:t>
      </w:r>
      <w:r>
        <w:rPr>
          <w:rFonts w:ascii="Times New Roman" w:eastAsia="SimSun" w:hAnsi="Times New Roman"/>
          <w:sz w:val="20"/>
        </w:rPr>
        <w:t>.</w:t>
      </w:r>
      <w:bookmarkEnd w:id="38"/>
    </w:p>
    <w:p w14:paraId="7EAD66AE" w14:textId="77777777" w:rsidR="008B603E" w:rsidRPr="001B0D82" w:rsidRDefault="008B603E" w:rsidP="008B603E">
      <w:pPr>
        <w:pStyle w:val="ListParagraph"/>
        <w:ind w:left="567"/>
        <w:rPr>
          <w:rFonts w:ascii="Times New Roman" w:eastAsia="SimSun" w:hAnsi="Times New Roman"/>
          <w:sz w:val="20"/>
        </w:rPr>
      </w:pPr>
      <w:bookmarkStart w:id="39" w:name="_Ref458672262"/>
      <w:bookmarkEnd w:id="36"/>
    </w:p>
    <w:bookmarkEnd w:id="39"/>
    <w:p w14:paraId="43518F76" w14:textId="77777777" w:rsidR="00073623" w:rsidRPr="00073623" w:rsidRDefault="00073623" w:rsidP="00073623"/>
    <w:bookmarkEnd w:id="32"/>
    <w:bookmarkEnd w:id="33"/>
    <w:bookmarkEnd w:id="34"/>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25"/>
      <w:footerReference w:type="even" r:id="rId126"/>
      <w:footerReference w:type="default" r:id="rId1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72E5A" w14:textId="77777777" w:rsidR="004A3B86" w:rsidRDefault="004A3B86">
      <w:r>
        <w:separator/>
      </w:r>
    </w:p>
  </w:endnote>
  <w:endnote w:type="continuationSeparator" w:id="0">
    <w:p w14:paraId="59681AE3" w14:textId="77777777" w:rsidR="004A3B86" w:rsidRDefault="004A3B86">
      <w:r>
        <w:continuationSeparator/>
      </w:r>
    </w:p>
  </w:endnote>
  <w:endnote w:type="continuationNotice" w:id="1">
    <w:p w14:paraId="67E14563" w14:textId="77777777" w:rsidR="004A3B86" w:rsidRDefault="004A3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4A3B86" w:rsidRDefault="004A3B8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4A3B86" w:rsidRDefault="004A3B8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4A3B86" w:rsidRDefault="004A3B8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54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540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962B8" w14:textId="77777777" w:rsidR="004A3B86" w:rsidRDefault="004A3B86">
      <w:r>
        <w:separator/>
      </w:r>
    </w:p>
  </w:footnote>
  <w:footnote w:type="continuationSeparator" w:id="0">
    <w:p w14:paraId="1811EEA5" w14:textId="77777777" w:rsidR="004A3B86" w:rsidRDefault="004A3B86">
      <w:r>
        <w:continuationSeparator/>
      </w:r>
    </w:p>
  </w:footnote>
  <w:footnote w:type="continuationNotice" w:id="1">
    <w:p w14:paraId="3BB5C5A5" w14:textId="77777777" w:rsidR="004A3B86" w:rsidRDefault="004A3B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4A3B86" w:rsidRDefault="004A3B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8"/>
  </w:num>
  <w:num w:numId="6">
    <w:abstractNumId w:val="4"/>
  </w:num>
  <w:num w:numId="7">
    <w:abstractNumId w:val="10"/>
  </w:num>
  <w:num w:numId="8">
    <w:abstractNumId w:val="3"/>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1F2"/>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6D6"/>
    <w:rsid w:val="000D46EE"/>
    <w:rsid w:val="000D4896"/>
    <w:rsid w:val="000D4DE6"/>
    <w:rsid w:val="000D5158"/>
    <w:rsid w:val="000D55EA"/>
    <w:rsid w:val="000D5965"/>
    <w:rsid w:val="000D59D6"/>
    <w:rsid w:val="000D5AB0"/>
    <w:rsid w:val="000D5AD1"/>
    <w:rsid w:val="000D5E4D"/>
    <w:rsid w:val="000D6841"/>
    <w:rsid w:val="000D6E27"/>
    <w:rsid w:val="000D6E96"/>
    <w:rsid w:val="000D7268"/>
    <w:rsid w:val="000D7783"/>
    <w:rsid w:val="000E011D"/>
    <w:rsid w:val="000E03CF"/>
    <w:rsid w:val="000E0D89"/>
    <w:rsid w:val="000E1003"/>
    <w:rsid w:val="000E14B9"/>
    <w:rsid w:val="000E182B"/>
    <w:rsid w:val="000E1E8E"/>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DF7"/>
    <w:rsid w:val="0016019C"/>
    <w:rsid w:val="001601C7"/>
    <w:rsid w:val="001602C2"/>
    <w:rsid w:val="001603B9"/>
    <w:rsid w:val="00160524"/>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9"/>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BBB"/>
    <w:rsid w:val="00397292"/>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5E"/>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E4"/>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593"/>
    <w:rsid w:val="00444901"/>
    <w:rsid w:val="00444934"/>
    <w:rsid w:val="00444F5E"/>
    <w:rsid w:val="00445513"/>
    <w:rsid w:val="00445625"/>
    <w:rsid w:val="00445907"/>
    <w:rsid w:val="00445CFF"/>
    <w:rsid w:val="004462AF"/>
    <w:rsid w:val="00446424"/>
    <w:rsid w:val="0044662A"/>
    <w:rsid w:val="004478FA"/>
    <w:rsid w:val="004501DE"/>
    <w:rsid w:val="00450778"/>
    <w:rsid w:val="00450D3B"/>
    <w:rsid w:val="0045169D"/>
    <w:rsid w:val="004518D5"/>
    <w:rsid w:val="00451B06"/>
    <w:rsid w:val="00451BEB"/>
    <w:rsid w:val="004520FE"/>
    <w:rsid w:val="0045224A"/>
    <w:rsid w:val="004527C0"/>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6DC"/>
    <w:rsid w:val="00562757"/>
    <w:rsid w:val="005627C0"/>
    <w:rsid w:val="00562CDC"/>
    <w:rsid w:val="00563FD2"/>
    <w:rsid w:val="0056434D"/>
    <w:rsid w:val="00564597"/>
    <w:rsid w:val="00564EB9"/>
    <w:rsid w:val="00566B77"/>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5D1"/>
    <w:rsid w:val="00591B9C"/>
    <w:rsid w:val="00592160"/>
    <w:rsid w:val="005923C9"/>
    <w:rsid w:val="0059284F"/>
    <w:rsid w:val="00592AB7"/>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D6"/>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16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C1161"/>
    <w:rsid w:val="008C18F0"/>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184"/>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5CB"/>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933"/>
    <w:rsid w:val="009F1CDC"/>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E74"/>
    <w:rsid w:val="00A27EDA"/>
    <w:rsid w:val="00A303B8"/>
    <w:rsid w:val="00A30703"/>
    <w:rsid w:val="00A30BAE"/>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C5C"/>
    <w:rsid w:val="00A41EF0"/>
    <w:rsid w:val="00A422A2"/>
    <w:rsid w:val="00A42659"/>
    <w:rsid w:val="00A42B87"/>
    <w:rsid w:val="00A4339C"/>
    <w:rsid w:val="00A43685"/>
    <w:rsid w:val="00A4392A"/>
    <w:rsid w:val="00A43963"/>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97E"/>
    <w:rsid w:val="00A67A8E"/>
    <w:rsid w:val="00A67AC6"/>
    <w:rsid w:val="00A67AEF"/>
    <w:rsid w:val="00A7008A"/>
    <w:rsid w:val="00A70A35"/>
    <w:rsid w:val="00A7141F"/>
    <w:rsid w:val="00A71D6B"/>
    <w:rsid w:val="00A71F00"/>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D18"/>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9F2"/>
    <w:rsid w:val="00DE0CAD"/>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FAC"/>
    <w:rsid w:val="00E7041A"/>
    <w:rsid w:val="00E705E5"/>
    <w:rsid w:val="00E70B0C"/>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7.bin"/><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emf"/><Relationship Id="rId84" Type="http://schemas.openxmlformats.org/officeDocument/2006/relationships/image" Target="media/image33.wmf"/><Relationship Id="rId89" Type="http://schemas.openxmlformats.org/officeDocument/2006/relationships/oleObject" Target="embeddings/oleObject43.bin"/><Relationship Id="rId112" Type="http://schemas.openxmlformats.org/officeDocument/2006/relationships/image" Target="media/image47.wmf"/><Relationship Id="rId16" Type="http://schemas.openxmlformats.org/officeDocument/2006/relationships/image" Target="media/image3.wmf"/><Relationship Id="rId107" Type="http://schemas.openxmlformats.org/officeDocument/2006/relationships/oleObject" Target="embeddings/oleObject52.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12.e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image" Target="media/image42.wmf"/><Relationship Id="rId123" Type="http://schemas.openxmlformats.org/officeDocument/2006/relationships/image" Target="media/image53.png"/><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image" Target="media/image36.wmf"/><Relationship Id="rId95"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e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5.bin"/><Relationship Id="rId64" Type="http://schemas.openxmlformats.org/officeDocument/2006/relationships/image" Target="media/image23.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image" Target="media/image41.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50.wmf"/><Relationship Id="rId12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40.wmf"/><Relationship Id="rId121" Type="http://schemas.openxmlformats.org/officeDocument/2006/relationships/oleObject" Target="embeddings/oleObject59.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50.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hyperlink" Target="https://projects.qualcomm.com/sites/pentari/Systems/NR%20RAN1%20Ongoing%20Work/tdocs/R1-1610485.zip" TargetMode="External"/><Relationship Id="rId129"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oleObject" Target="embeddings/oleObject29.bin"/><Relationship Id="rId70" Type="http://schemas.openxmlformats.org/officeDocument/2006/relationships/image" Target="media/image26.e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5.wmf"/><Relationship Id="rId91" Type="http://schemas.openxmlformats.org/officeDocument/2006/relationships/oleObject" Target="embeddings/oleObject44.bin"/><Relationship Id="rId96" Type="http://schemas.openxmlformats.org/officeDocument/2006/relationships/image" Target="media/image39.wmf"/><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8.bin"/><Relationship Id="rId127"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0.wmf"/><Relationship Id="rId81" Type="http://schemas.openxmlformats.org/officeDocument/2006/relationships/oleObject" Target="embeddings/oleObject39.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2.png"/><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53.bin"/><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29.wmf"/><Relationship Id="rId97" Type="http://schemas.openxmlformats.org/officeDocument/2006/relationships/oleObject" Target="embeddings/oleObject47.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header" Target="header1.xml"/><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image" Target="media/image37.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6.bin"/><Relationship Id="rId61" Type="http://schemas.openxmlformats.org/officeDocument/2006/relationships/oleObject" Target="embeddings/oleObject28.bin"/><Relationship Id="rId82"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HR33RHYHUWRF-4-1775</_dlc_DocId>
    <_dlc_DocIdUrl xmlns="c06861ca-3f08-4d07-bff7-bb15bac121f4">
      <Url>https://projects.qualcomm.com/sites/pentari/_layouts/15/DocIdRedir.aspx?ID=HR33RHYHUWRF-4-1775</Url>
      <Description>HR33RHYHUWRF-4-1775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openxmlformats.org/package/2006/metadata/core-properties"/>
    <ds:schemaRef ds:uri="http://purl.org/dc/elements/1.1/"/>
    <ds:schemaRef ds:uri="c06861ca-3f08-4d07-bff7-bb15bac121f4"/>
    <ds:schemaRef ds:uri="http://schemas.microsoft.com/office/infopath/2007/PartnerControls"/>
    <ds:schemaRef ds:uri="http://purl.org/dc/dcmitype/"/>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1E0D2A-6C11-4F98-A3F6-3173A7232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8</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Huang, Yi</cp:lastModifiedBy>
  <cp:revision>57</cp:revision>
  <cp:lastPrinted>2014-11-07T05:38:00Z</cp:lastPrinted>
  <dcterms:created xsi:type="dcterms:W3CDTF">2017-01-10T03:28:00Z</dcterms:created>
  <dcterms:modified xsi:type="dcterms:W3CDTF">2017-02-07T02:59:00Z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ee1d4294-b314-40d4-bb73-d08c1b00df60</vt:lpwstr>
  </property>
</Properties>
</file>